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0D" w:rsidRDefault="00DB1F92" w:rsidP="00DB1F92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79500" cy="54796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C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54" cy="5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</w:t>
      </w:r>
      <w:r w:rsidR="0072339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</w:p>
    <w:p w:rsidR="00AB1E0D" w:rsidRDefault="00AB1E0D" w:rsidP="00DB1F92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A2430C" w:rsidRPr="00A2430C" w:rsidRDefault="00A2430C" w:rsidP="00A2430C">
      <w:pPr>
        <w:pStyle w:val="Heading1"/>
        <w:spacing w:before="8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2430C">
        <w:rPr>
          <w:rFonts w:asciiTheme="minorHAnsi" w:hAnsiTheme="minorHAnsi" w:cstheme="minorHAnsi"/>
          <w:sz w:val="24"/>
          <w:szCs w:val="24"/>
        </w:rPr>
        <w:t>B</w:t>
      </w:r>
      <w:r w:rsidRPr="00A2430C">
        <w:rPr>
          <w:rFonts w:asciiTheme="minorHAnsi" w:hAnsiTheme="minorHAnsi" w:cstheme="minorHAnsi"/>
          <w:sz w:val="24"/>
          <w:szCs w:val="24"/>
        </w:rPr>
        <w:t>udget</w:t>
      </w:r>
      <w:r w:rsidRPr="00A243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z w:val="24"/>
          <w:szCs w:val="24"/>
        </w:rPr>
        <w:t>Based</w:t>
      </w:r>
      <w:r w:rsidRPr="00A2430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z w:val="24"/>
          <w:szCs w:val="24"/>
        </w:rPr>
        <w:t>Rent</w:t>
      </w:r>
      <w:r w:rsidRPr="00A243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z w:val="24"/>
          <w:szCs w:val="24"/>
        </w:rPr>
        <w:t>Increase</w:t>
      </w:r>
      <w:r w:rsidRPr="00A243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z w:val="24"/>
          <w:szCs w:val="24"/>
        </w:rPr>
        <w:t>Requirements</w:t>
      </w:r>
      <w:r w:rsidRPr="00A243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z w:val="24"/>
          <w:szCs w:val="24"/>
        </w:rPr>
        <w:t>and</w:t>
      </w:r>
      <w:r w:rsidRPr="00A243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430C">
        <w:rPr>
          <w:rFonts w:asciiTheme="minorHAnsi" w:hAnsiTheme="minorHAnsi" w:cstheme="minorHAnsi"/>
          <w:spacing w:val="-2"/>
          <w:sz w:val="24"/>
          <w:szCs w:val="24"/>
        </w:rPr>
        <w:t>Procedures</w:t>
      </w:r>
    </w:p>
    <w:p w:rsidR="00A2430C" w:rsidRPr="00A2430C" w:rsidRDefault="00A2430C" w:rsidP="00A2430C">
      <w:pPr>
        <w:pStyle w:val="BodyText"/>
        <w:spacing w:before="6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30C" w:rsidRDefault="00A2430C" w:rsidP="00A2430C">
      <w:pPr>
        <w:widowControl w:val="0"/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 w:rsidRPr="00267AFC">
        <w:rPr>
          <w:rFonts w:cstheme="minorHAnsi"/>
          <w:sz w:val="20"/>
        </w:rPr>
        <w:t>Budget</w:t>
      </w:r>
      <w:r w:rsidRPr="00267AFC"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pacing w:val="-3"/>
          <w:sz w:val="20"/>
        </w:rPr>
        <w:t xml:space="preserve">based rent increases are subject to the same </w:t>
      </w:r>
      <w:r>
        <w:rPr>
          <w:rFonts w:cstheme="minorHAnsi"/>
          <w:spacing w:val="-3"/>
          <w:sz w:val="20"/>
        </w:rPr>
        <w:t xml:space="preserve">compliance requirements as the </w:t>
      </w:r>
      <w:r w:rsidRPr="00A2430C">
        <w:rPr>
          <w:rFonts w:cstheme="minorHAnsi"/>
          <w:spacing w:val="-3"/>
          <w:sz w:val="20"/>
        </w:rPr>
        <w:t>basic/automatic rent increase</w:t>
      </w:r>
      <w:r>
        <w:rPr>
          <w:rFonts w:cstheme="minorHAnsi"/>
          <w:spacing w:val="-3"/>
          <w:sz w:val="20"/>
        </w:rPr>
        <w:t>, but the budget must be reviewed and closed prior to r</w:t>
      </w:r>
      <w:r w:rsidRPr="00A2430C">
        <w:rPr>
          <w:rFonts w:cstheme="minorHAnsi"/>
          <w:spacing w:val="-3"/>
          <w:sz w:val="20"/>
        </w:rPr>
        <w:t>eview</w:t>
      </w:r>
      <w:r w:rsidRPr="00267AFC"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pacing w:val="-3"/>
          <w:sz w:val="20"/>
        </w:rPr>
        <w:t xml:space="preserve">of this type of rent increase. The difference is that a budget-based rent increase has a higher maximum. </w:t>
      </w:r>
      <w:r w:rsidRPr="00A2430C">
        <w:rPr>
          <w:rFonts w:cstheme="minorHAnsi"/>
          <w:spacing w:val="-3"/>
          <w:sz w:val="20"/>
        </w:rPr>
        <w:t>The annual development budget must</w:t>
      </w:r>
      <w:r w:rsidRPr="00267AFC">
        <w:rPr>
          <w:rFonts w:cstheme="minorHAnsi"/>
          <w:spacing w:val="-5"/>
          <w:sz w:val="20"/>
        </w:rPr>
        <w:t xml:space="preserve"> </w:t>
      </w:r>
      <w:r w:rsidRPr="00267AFC">
        <w:rPr>
          <w:rFonts w:cstheme="minorHAnsi"/>
          <w:sz w:val="20"/>
        </w:rPr>
        <w:t>demonstrate</w:t>
      </w:r>
      <w:r w:rsidRPr="00267AFC">
        <w:rPr>
          <w:rFonts w:cstheme="minorHAnsi"/>
          <w:spacing w:val="-4"/>
          <w:sz w:val="20"/>
        </w:rPr>
        <w:t xml:space="preserve"> </w:t>
      </w:r>
      <w:r w:rsidRPr="00267AFC">
        <w:rPr>
          <w:rFonts w:cstheme="minorHAnsi"/>
          <w:sz w:val="20"/>
        </w:rPr>
        <w:t>a</w:t>
      </w:r>
      <w:r w:rsidRPr="00267AFC">
        <w:rPr>
          <w:rFonts w:cstheme="minorHAnsi"/>
          <w:spacing w:val="-4"/>
          <w:sz w:val="20"/>
        </w:rPr>
        <w:t xml:space="preserve"> </w:t>
      </w:r>
      <w:r w:rsidRPr="00267AFC">
        <w:rPr>
          <w:rFonts w:cstheme="minorHAnsi"/>
          <w:sz w:val="20"/>
        </w:rPr>
        <w:t>need</w:t>
      </w:r>
      <w:r w:rsidRPr="00267AFC">
        <w:rPr>
          <w:rFonts w:cstheme="minorHAnsi"/>
          <w:spacing w:val="-4"/>
          <w:sz w:val="20"/>
        </w:rPr>
        <w:t xml:space="preserve"> </w:t>
      </w:r>
      <w:r w:rsidRPr="00267AFC">
        <w:rPr>
          <w:rFonts w:cstheme="minorHAnsi"/>
          <w:sz w:val="20"/>
        </w:rPr>
        <w:t>for</w:t>
      </w:r>
      <w:r w:rsidRPr="00267AFC">
        <w:rPr>
          <w:rFonts w:cstheme="minorHAnsi"/>
          <w:spacing w:val="-4"/>
          <w:sz w:val="20"/>
        </w:rPr>
        <w:t xml:space="preserve"> </w:t>
      </w:r>
      <w:r w:rsidRPr="00267AFC">
        <w:rPr>
          <w:rFonts w:cstheme="minorHAnsi"/>
          <w:sz w:val="20"/>
        </w:rPr>
        <w:t>a</w:t>
      </w:r>
      <w:r w:rsidRPr="00267AFC">
        <w:rPr>
          <w:rFonts w:cstheme="minorHAnsi"/>
          <w:spacing w:val="-4"/>
          <w:sz w:val="20"/>
        </w:rPr>
        <w:t xml:space="preserve"> maximum </w:t>
      </w:r>
      <w:r w:rsidRPr="00267AFC">
        <w:rPr>
          <w:rFonts w:cstheme="minorHAnsi"/>
          <w:sz w:val="20"/>
        </w:rPr>
        <w:t>rent</w:t>
      </w:r>
      <w:r w:rsidRPr="00267AFC">
        <w:rPr>
          <w:rFonts w:cstheme="minorHAnsi"/>
          <w:spacing w:val="-5"/>
          <w:sz w:val="20"/>
        </w:rPr>
        <w:t xml:space="preserve"> </w:t>
      </w:r>
      <w:r w:rsidRPr="00267AFC">
        <w:rPr>
          <w:rFonts w:cstheme="minorHAnsi"/>
          <w:sz w:val="20"/>
        </w:rPr>
        <w:t xml:space="preserve">increase available as determined by analyzing </w:t>
      </w:r>
      <w:r>
        <w:rPr>
          <w:rFonts w:cstheme="minorHAnsi"/>
          <w:sz w:val="20"/>
        </w:rPr>
        <w:t>these key performance indicators:</w:t>
      </w:r>
    </w:p>
    <w:p w:rsidR="00A2430C" w:rsidRDefault="00A2430C" w:rsidP="00A2430C">
      <w:pPr>
        <w:widowControl w:val="0"/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</w:p>
    <w:p w:rsidR="00A2430C" w:rsidRDefault="00A2430C" w:rsidP="00A2430C">
      <w:pPr>
        <w:pStyle w:val="ListParagraph"/>
        <w:widowControl w:val="0"/>
        <w:numPr>
          <w:ilvl w:val="0"/>
          <w:numId w:val="5"/>
        </w:numPr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Pr="00A2430C">
        <w:rPr>
          <w:rFonts w:cstheme="minorHAnsi"/>
          <w:sz w:val="20"/>
        </w:rPr>
        <w:t>ash</w:t>
      </w:r>
      <w:r w:rsidRPr="00A2430C">
        <w:rPr>
          <w:rFonts w:cstheme="minorHAnsi"/>
          <w:spacing w:val="-5"/>
          <w:sz w:val="20"/>
        </w:rPr>
        <w:t xml:space="preserve"> f</w:t>
      </w:r>
      <w:r w:rsidRPr="00A2430C">
        <w:rPr>
          <w:rFonts w:cstheme="minorHAnsi"/>
          <w:sz w:val="20"/>
        </w:rPr>
        <w:t>low</w:t>
      </w:r>
      <w:r w:rsidRPr="00A2430C">
        <w:rPr>
          <w:rFonts w:cstheme="minorHAnsi"/>
          <w:spacing w:val="-4"/>
          <w:sz w:val="20"/>
        </w:rPr>
        <w:t xml:space="preserve"> </w:t>
      </w:r>
      <w:r w:rsidRPr="00A2430C">
        <w:rPr>
          <w:rFonts w:cstheme="minorHAnsi"/>
          <w:sz w:val="20"/>
        </w:rPr>
        <w:t>after</w:t>
      </w:r>
      <w:r w:rsidRPr="00A2430C">
        <w:rPr>
          <w:rFonts w:cstheme="minorHAnsi"/>
          <w:spacing w:val="-4"/>
          <w:sz w:val="20"/>
        </w:rPr>
        <w:t xml:space="preserve"> considering</w:t>
      </w:r>
      <w:r w:rsidRPr="00A2430C">
        <w:rPr>
          <w:rFonts w:cstheme="minorHAnsi"/>
          <w:spacing w:val="-5"/>
          <w:sz w:val="20"/>
        </w:rPr>
        <w:t xml:space="preserve"> </w:t>
      </w:r>
      <w:r w:rsidRPr="00A2430C">
        <w:rPr>
          <w:rFonts w:cstheme="minorHAnsi"/>
          <w:sz w:val="20"/>
        </w:rPr>
        <w:t>development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soft</w:t>
      </w:r>
      <w:r w:rsidRPr="00A2430C">
        <w:rPr>
          <w:rFonts w:cstheme="minorHAnsi"/>
          <w:spacing w:val="-4"/>
          <w:sz w:val="20"/>
        </w:rPr>
        <w:t xml:space="preserve"> </w:t>
      </w:r>
      <w:r w:rsidRPr="00A2430C">
        <w:rPr>
          <w:rFonts w:cstheme="minorHAnsi"/>
          <w:sz w:val="20"/>
        </w:rPr>
        <w:t>debt,</w:t>
      </w:r>
    </w:p>
    <w:p w:rsidR="00A2430C" w:rsidRDefault="00A2430C" w:rsidP="00A2430C">
      <w:pPr>
        <w:pStyle w:val="ListParagraph"/>
        <w:widowControl w:val="0"/>
        <w:numPr>
          <w:ilvl w:val="0"/>
          <w:numId w:val="5"/>
        </w:numPr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Pr="00A2430C">
        <w:rPr>
          <w:rFonts w:cstheme="minorHAnsi"/>
          <w:sz w:val="20"/>
        </w:rPr>
        <w:t>eferred</w:t>
      </w:r>
      <w:r w:rsidRPr="00A2430C">
        <w:rPr>
          <w:rFonts w:cstheme="minorHAnsi"/>
          <w:spacing w:val="-5"/>
          <w:sz w:val="20"/>
        </w:rPr>
        <w:t xml:space="preserve"> </w:t>
      </w:r>
      <w:r w:rsidRPr="00A2430C">
        <w:rPr>
          <w:rFonts w:cstheme="minorHAnsi"/>
          <w:sz w:val="20"/>
        </w:rPr>
        <w:t>development</w:t>
      </w:r>
      <w:r w:rsidRPr="00A2430C"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fee</w:t>
      </w:r>
    </w:p>
    <w:p w:rsidR="00A2430C" w:rsidRDefault="00A2430C" w:rsidP="00A2430C">
      <w:pPr>
        <w:pStyle w:val="ListParagraph"/>
        <w:widowControl w:val="0"/>
        <w:numPr>
          <w:ilvl w:val="0"/>
          <w:numId w:val="5"/>
        </w:numPr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 w:rsidRPr="00A2430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Agreed </w:t>
      </w:r>
      <w:r w:rsidRPr="00A2430C">
        <w:rPr>
          <w:rFonts w:cstheme="minorHAnsi"/>
          <w:sz w:val="20"/>
        </w:rPr>
        <w:t>upon owner distribution</w:t>
      </w:r>
    </w:p>
    <w:p w:rsidR="00A2430C" w:rsidRDefault="00A2430C" w:rsidP="00A2430C">
      <w:pPr>
        <w:pStyle w:val="ListParagraph"/>
        <w:widowControl w:val="0"/>
        <w:numPr>
          <w:ilvl w:val="0"/>
          <w:numId w:val="5"/>
        </w:numPr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Pr="00A2430C">
        <w:rPr>
          <w:rFonts w:cstheme="minorHAnsi"/>
          <w:sz w:val="20"/>
        </w:rPr>
        <w:t>evelopment</w:t>
      </w:r>
      <w:r w:rsidRPr="00A2430C"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pacing w:val="-4"/>
          <w:sz w:val="20"/>
        </w:rPr>
        <w:t>Debt Coverage Ratio (</w:t>
      </w:r>
      <w:r w:rsidRPr="00A2430C">
        <w:rPr>
          <w:rFonts w:cstheme="minorHAnsi"/>
          <w:sz w:val="20"/>
        </w:rPr>
        <w:t>DCR</w:t>
      </w:r>
      <w:r>
        <w:rPr>
          <w:rFonts w:cstheme="minorHAnsi"/>
          <w:sz w:val="20"/>
        </w:rPr>
        <w:t>)</w:t>
      </w:r>
    </w:p>
    <w:p w:rsidR="00A2430C" w:rsidRDefault="00A2430C" w:rsidP="00A2430C">
      <w:pPr>
        <w:pStyle w:val="ListParagraph"/>
        <w:widowControl w:val="0"/>
        <w:tabs>
          <w:tab w:val="left" w:pos="819"/>
          <w:tab w:val="left" w:pos="821"/>
        </w:tabs>
        <w:autoSpaceDE w:val="0"/>
        <w:autoSpaceDN w:val="0"/>
        <w:spacing w:after="0" w:line="240" w:lineRule="auto"/>
        <w:ind w:left="765" w:right="124"/>
        <w:rPr>
          <w:rFonts w:cstheme="minorHAnsi"/>
          <w:sz w:val="20"/>
        </w:rPr>
      </w:pPr>
    </w:p>
    <w:p w:rsidR="00A2430C" w:rsidRPr="00A2430C" w:rsidRDefault="00A2430C" w:rsidP="00A2430C">
      <w:pPr>
        <w:widowControl w:val="0"/>
        <w:tabs>
          <w:tab w:val="left" w:pos="819"/>
          <w:tab w:val="left" w:pos="821"/>
        </w:tabs>
        <w:autoSpaceDE w:val="0"/>
        <w:autoSpaceDN w:val="0"/>
        <w:spacing w:after="0" w:line="240" w:lineRule="auto"/>
        <w:ind w:right="124"/>
        <w:rPr>
          <w:rFonts w:cstheme="minorHAnsi"/>
          <w:sz w:val="20"/>
        </w:rPr>
      </w:pPr>
      <w:r w:rsidRPr="00A2430C">
        <w:rPr>
          <w:rFonts w:cstheme="minorHAnsi"/>
          <w:sz w:val="20"/>
        </w:rPr>
        <w:t>MHDC</w:t>
      </w:r>
      <w:r w:rsidRPr="00A2430C">
        <w:rPr>
          <w:rFonts w:cstheme="minorHAnsi"/>
          <w:spacing w:val="-4"/>
          <w:sz w:val="20"/>
        </w:rPr>
        <w:t xml:space="preserve"> </w:t>
      </w:r>
      <w:r w:rsidRPr="00A2430C">
        <w:rPr>
          <w:rFonts w:cstheme="minorHAnsi"/>
          <w:sz w:val="20"/>
        </w:rPr>
        <w:t>considers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a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healthy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property</w:t>
      </w:r>
      <w:r w:rsidRPr="00A2430C">
        <w:rPr>
          <w:rFonts w:cstheme="minorHAnsi"/>
          <w:spacing w:val="-4"/>
          <w:sz w:val="20"/>
        </w:rPr>
        <w:t xml:space="preserve"> </w:t>
      </w:r>
      <w:r w:rsidRPr="00A2430C">
        <w:rPr>
          <w:rFonts w:cstheme="minorHAnsi"/>
          <w:sz w:val="20"/>
        </w:rPr>
        <w:t>to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maintain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a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 xml:space="preserve">1.20 </w:t>
      </w:r>
      <w:r>
        <w:rPr>
          <w:rFonts w:cstheme="minorHAnsi"/>
          <w:spacing w:val="-4"/>
          <w:sz w:val="20"/>
        </w:rPr>
        <w:t xml:space="preserve">DCR.  </w:t>
      </w:r>
      <w:r w:rsidRPr="00A2430C">
        <w:rPr>
          <w:rFonts w:cstheme="minorHAnsi"/>
          <w:sz w:val="20"/>
        </w:rPr>
        <w:t>Any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budget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that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projects</w:t>
      </w:r>
      <w:r w:rsidRPr="00A2430C">
        <w:rPr>
          <w:rFonts w:cstheme="minorHAnsi"/>
          <w:spacing w:val="-2"/>
          <w:sz w:val="20"/>
        </w:rPr>
        <w:t xml:space="preserve"> </w:t>
      </w:r>
      <w:r w:rsidRPr="00A2430C">
        <w:rPr>
          <w:rFonts w:cstheme="minorHAnsi"/>
          <w:sz w:val="20"/>
        </w:rPr>
        <w:t>a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property</w:t>
      </w:r>
      <w:r w:rsidRPr="00A2430C">
        <w:rPr>
          <w:rFonts w:cstheme="minorHAnsi"/>
          <w:spacing w:val="-4"/>
          <w:sz w:val="20"/>
        </w:rPr>
        <w:t xml:space="preserve"> </w:t>
      </w:r>
      <w:r w:rsidRPr="00A2430C">
        <w:rPr>
          <w:rFonts w:cstheme="minorHAnsi"/>
          <w:sz w:val="20"/>
        </w:rPr>
        <w:t>to</w:t>
      </w:r>
      <w:r w:rsidRPr="00A2430C">
        <w:rPr>
          <w:rFonts w:cstheme="minorHAnsi"/>
          <w:spacing w:val="-3"/>
          <w:sz w:val="20"/>
        </w:rPr>
        <w:t xml:space="preserve"> </w:t>
      </w:r>
      <w:r w:rsidRPr="00A2430C">
        <w:rPr>
          <w:rFonts w:cstheme="minorHAnsi"/>
          <w:sz w:val="20"/>
        </w:rPr>
        <w:t>exceed</w:t>
      </w:r>
      <w:r w:rsidRPr="00A2430C">
        <w:rPr>
          <w:rFonts w:cstheme="minorHAnsi"/>
          <w:spacing w:val="-2"/>
          <w:sz w:val="20"/>
        </w:rPr>
        <w:t xml:space="preserve"> </w:t>
      </w:r>
      <w:r w:rsidRPr="00A2430C">
        <w:rPr>
          <w:rFonts w:cstheme="minorHAnsi"/>
          <w:sz w:val="20"/>
        </w:rPr>
        <w:t>a</w:t>
      </w:r>
      <w:r w:rsidRPr="00A2430C">
        <w:rPr>
          <w:rFonts w:cstheme="minorHAnsi"/>
          <w:spacing w:val="-2"/>
          <w:sz w:val="20"/>
        </w:rPr>
        <w:t xml:space="preserve"> </w:t>
      </w:r>
      <w:r w:rsidRPr="00A2430C">
        <w:rPr>
          <w:rFonts w:cstheme="minorHAnsi"/>
          <w:sz w:val="20"/>
        </w:rPr>
        <w:t>1.2</w:t>
      </w:r>
      <w:r>
        <w:rPr>
          <w:rFonts w:cstheme="minorHAnsi"/>
          <w:sz w:val="20"/>
        </w:rPr>
        <w:t>0</w:t>
      </w:r>
      <w:r w:rsidRPr="00A2430C">
        <w:rPr>
          <w:rFonts w:cstheme="minorHAnsi"/>
          <w:sz w:val="20"/>
        </w:rPr>
        <w:t xml:space="preserve"> DCR may have their rent increase reduced or denied. Higher DCRs may be allowed for properties to achieve their agreed upon owner distribution and repay surplus cash notes and rem</w:t>
      </w:r>
      <w:r>
        <w:rPr>
          <w:rFonts w:cstheme="minorHAnsi"/>
          <w:sz w:val="20"/>
        </w:rPr>
        <w:t xml:space="preserve">aining deferred developer fees.  </w:t>
      </w:r>
      <w:r w:rsidRPr="00A2430C">
        <w:rPr>
          <w:rFonts w:cstheme="minorHAnsi"/>
          <w:sz w:val="20"/>
        </w:rPr>
        <w:t>In any event, MHDC will not approve an increase that is more than the maximum allowed.</w:t>
      </w:r>
    </w:p>
    <w:p w:rsidR="00914364" w:rsidRPr="00A2430C" w:rsidRDefault="00914364" w:rsidP="00A2430C">
      <w:pPr>
        <w:shd w:val="clear" w:color="auto" w:fill="FFFFFF"/>
        <w:spacing w:after="0" w:line="240" w:lineRule="auto"/>
        <w:jc w:val="center"/>
        <w:rPr>
          <w:rFonts w:cstheme="minorHAnsi"/>
          <w:sz w:val="20"/>
        </w:rPr>
      </w:pPr>
      <w:bookmarkStart w:id="0" w:name="_GoBack"/>
      <w:bookmarkEnd w:id="0"/>
    </w:p>
    <w:sectPr w:rsidR="00914364" w:rsidRPr="00A2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DDE"/>
    <w:multiLevelType w:val="hybridMultilevel"/>
    <w:tmpl w:val="01F2E5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DC2F45"/>
    <w:multiLevelType w:val="hybridMultilevel"/>
    <w:tmpl w:val="6960DF66"/>
    <w:lvl w:ilvl="0" w:tplc="D3DAF8D6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E6929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D161B0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1FEBB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EB06DC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AEAA61E0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68A0214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8F6C85E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A016091C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C1699E"/>
    <w:multiLevelType w:val="hybridMultilevel"/>
    <w:tmpl w:val="21C8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640C"/>
    <w:multiLevelType w:val="hybridMultilevel"/>
    <w:tmpl w:val="942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BBA"/>
    <w:multiLevelType w:val="multilevel"/>
    <w:tmpl w:val="5BB0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2"/>
    <w:rsid w:val="000850F7"/>
    <w:rsid w:val="000E31A2"/>
    <w:rsid w:val="000E7EB0"/>
    <w:rsid w:val="00134445"/>
    <w:rsid w:val="00293BBC"/>
    <w:rsid w:val="002E4585"/>
    <w:rsid w:val="003C1FCA"/>
    <w:rsid w:val="004E459A"/>
    <w:rsid w:val="004F71E0"/>
    <w:rsid w:val="005C6F76"/>
    <w:rsid w:val="00624EBD"/>
    <w:rsid w:val="006F653E"/>
    <w:rsid w:val="00723397"/>
    <w:rsid w:val="00914364"/>
    <w:rsid w:val="009C244C"/>
    <w:rsid w:val="00A2430C"/>
    <w:rsid w:val="00AB1E0D"/>
    <w:rsid w:val="00BC5501"/>
    <w:rsid w:val="00D21462"/>
    <w:rsid w:val="00D942C8"/>
    <w:rsid w:val="00DB1F92"/>
    <w:rsid w:val="00E82879"/>
    <w:rsid w:val="00E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6AA8"/>
  <w15:chartTrackingRefBased/>
  <w15:docId w15:val="{6B345A33-8719-4737-B6E5-4309D21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92"/>
  </w:style>
  <w:style w:type="paragraph" w:styleId="Heading1">
    <w:name w:val="heading 1"/>
    <w:basedOn w:val="Normal"/>
    <w:link w:val="Heading1Char"/>
    <w:uiPriority w:val="1"/>
    <w:qFormat/>
    <w:rsid w:val="00AB1E0D"/>
    <w:pPr>
      <w:widowControl w:val="0"/>
      <w:autoSpaceDE w:val="0"/>
      <w:autoSpaceDN w:val="0"/>
      <w:spacing w:after="0" w:line="240" w:lineRule="auto"/>
      <w:ind w:left="152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43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50F7"/>
    <w:pPr>
      <w:widowControl w:val="0"/>
      <w:autoSpaceDE w:val="0"/>
      <w:autoSpaceDN w:val="0"/>
      <w:spacing w:before="11" w:after="0" w:line="240" w:lineRule="auto"/>
      <w:ind w:left="27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B1E0D"/>
    <w:rPr>
      <w:rFonts w:ascii="Verdana" w:eastAsia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B1E0D"/>
    <w:pPr>
      <w:widowControl w:val="0"/>
      <w:autoSpaceDE w:val="0"/>
      <w:autoSpaceDN w:val="0"/>
      <w:spacing w:after="0" w:line="240" w:lineRule="auto"/>
      <w:ind w:hanging="361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1E0D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Miller</dc:creator>
  <cp:keywords/>
  <dc:description/>
  <cp:lastModifiedBy>Scott Hanak</cp:lastModifiedBy>
  <cp:revision>3</cp:revision>
  <dcterms:created xsi:type="dcterms:W3CDTF">2022-10-17T12:27:00Z</dcterms:created>
  <dcterms:modified xsi:type="dcterms:W3CDTF">2022-10-18T17:39:00Z</dcterms:modified>
</cp:coreProperties>
</file>