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2B" w:rsidRDefault="009D122B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D122B" w:rsidRDefault="009D122B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D122B" w:rsidRDefault="009D122B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098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C_Logo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2B" w:rsidRDefault="009D122B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D122B" w:rsidRDefault="009D122B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318FD" w:rsidRPr="00D922A5" w:rsidRDefault="00D922A5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22A5">
        <w:rPr>
          <w:rFonts w:ascii="Arial" w:hAnsi="Arial" w:cs="Arial"/>
          <w:b/>
          <w:sz w:val="28"/>
          <w:szCs w:val="28"/>
        </w:rPr>
        <w:t>Missouri Housing Development Commission</w:t>
      </w:r>
    </w:p>
    <w:p w:rsidR="00D922A5" w:rsidRPr="00D922A5" w:rsidRDefault="00D922A5" w:rsidP="00D922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22A5">
        <w:rPr>
          <w:rFonts w:ascii="Arial" w:hAnsi="Arial" w:cs="Arial"/>
          <w:b/>
          <w:sz w:val="28"/>
          <w:szCs w:val="28"/>
        </w:rPr>
        <w:t xml:space="preserve">LIHTC </w:t>
      </w:r>
      <w:r w:rsidR="009E2664">
        <w:rPr>
          <w:rFonts w:ascii="Arial" w:hAnsi="Arial" w:cs="Arial"/>
          <w:b/>
          <w:sz w:val="28"/>
          <w:szCs w:val="28"/>
        </w:rPr>
        <w:t>Qualified Contract Application Instructions</w:t>
      </w:r>
    </w:p>
    <w:p w:rsidR="00D922A5" w:rsidRPr="00D922A5" w:rsidRDefault="00D922A5" w:rsidP="00D922A5">
      <w:pPr>
        <w:pStyle w:val="NoSpacing"/>
        <w:rPr>
          <w:rFonts w:ascii="Arial" w:hAnsi="Arial" w:cs="Arial"/>
          <w:sz w:val="24"/>
          <w:szCs w:val="24"/>
        </w:rPr>
      </w:pP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  <w:r w:rsidRPr="002604A0">
        <w:rPr>
          <w:rFonts w:ascii="Arial" w:hAnsi="Arial" w:cs="Arial"/>
        </w:rPr>
        <w:t xml:space="preserve">A request for a qualified contract allows eligible owners of Low Income Housing Tax Credit </w:t>
      </w:r>
      <w:r w:rsidR="009D51F3">
        <w:rPr>
          <w:rFonts w:ascii="Arial" w:hAnsi="Arial" w:cs="Arial"/>
        </w:rPr>
        <w:t>properties</w:t>
      </w:r>
      <w:r w:rsidRPr="002604A0">
        <w:rPr>
          <w:rFonts w:ascii="Arial" w:hAnsi="Arial" w:cs="Arial"/>
        </w:rPr>
        <w:t xml:space="preserve"> to exit the tax credit program after the end of the </w:t>
      </w:r>
      <w:r w:rsidR="0062248F">
        <w:rPr>
          <w:rFonts w:ascii="Arial" w:hAnsi="Arial" w:cs="Arial"/>
        </w:rPr>
        <w:t xml:space="preserve">initial </w:t>
      </w:r>
      <w:r w:rsidRPr="002604A0">
        <w:rPr>
          <w:rFonts w:ascii="Arial" w:hAnsi="Arial" w:cs="Arial"/>
        </w:rPr>
        <w:t>compliance period (as defined in the Land U</w:t>
      </w:r>
      <w:r w:rsidR="00040219">
        <w:rPr>
          <w:rFonts w:ascii="Arial" w:hAnsi="Arial" w:cs="Arial"/>
        </w:rPr>
        <w:t>se Restriction Agreement (LURA)</w:t>
      </w:r>
      <w:r w:rsidR="009E737D">
        <w:rPr>
          <w:rFonts w:ascii="Arial" w:hAnsi="Arial" w:cs="Arial"/>
        </w:rPr>
        <w:t>)</w:t>
      </w:r>
      <w:r w:rsidRPr="002604A0">
        <w:rPr>
          <w:rFonts w:ascii="Arial" w:hAnsi="Arial" w:cs="Arial"/>
        </w:rPr>
        <w:t>.  The following procedure describes the terms and conditions owners must follow when requesting to exit the tax credit program:</w:t>
      </w: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</w:p>
    <w:p w:rsidR="00D922A5" w:rsidRPr="002604A0" w:rsidRDefault="00DB7257" w:rsidP="00D922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 application</w:t>
      </w:r>
      <w:r w:rsidR="00D922A5" w:rsidRPr="002604A0">
        <w:rPr>
          <w:rFonts w:ascii="Arial" w:hAnsi="Arial" w:cs="Arial"/>
        </w:rPr>
        <w:t xml:space="preserve"> may be submitted to MHDC at </w:t>
      </w:r>
      <w:r w:rsidRPr="002604A0">
        <w:rPr>
          <w:rFonts w:ascii="Arial" w:hAnsi="Arial" w:cs="Arial"/>
        </w:rPr>
        <w:t>any time</w:t>
      </w:r>
      <w:r w:rsidR="00D922A5" w:rsidRPr="002604A0">
        <w:rPr>
          <w:rFonts w:ascii="Arial" w:hAnsi="Arial" w:cs="Arial"/>
        </w:rPr>
        <w:t xml:space="preserve"> d</w:t>
      </w:r>
      <w:r w:rsidR="00772CF0">
        <w:rPr>
          <w:rFonts w:ascii="Arial" w:hAnsi="Arial" w:cs="Arial"/>
        </w:rPr>
        <w:t>uring</w:t>
      </w:r>
      <w:r w:rsidR="006D7ED3">
        <w:rPr>
          <w:rFonts w:ascii="Arial" w:hAnsi="Arial" w:cs="Arial"/>
        </w:rPr>
        <w:t xml:space="preserve"> or after</w:t>
      </w:r>
      <w:r w:rsidR="00772CF0">
        <w:rPr>
          <w:rFonts w:ascii="Arial" w:hAnsi="Arial" w:cs="Arial"/>
        </w:rPr>
        <w:t xml:space="preserve"> </w:t>
      </w:r>
      <w:r w:rsidR="00772CF0" w:rsidRPr="00772CF0">
        <w:rPr>
          <w:rFonts w:ascii="Arial" w:hAnsi="Arial" w:cs="Arial"/>
        </w:rPr>
        <w:t>the last year of the mandatory compliance period.</w:t>
      </w:r>
      <w:r w:rsidR="006D7ED3">
        <w:rPr>
          <w:rFonts w:ascii="Arial" w:hAnsi="Arial" w:cs="Arial"/>
        </w:rPr>
        <w:t xml:space="preserve">  </w:t>
      </w:r>
      <w:r w:rsidR="00D922A5" w:rsidRPr="002604A0">
        <w:rPr>
          <w:rFonts w:ascii="Arial" w:hAnsi="Arial" w:cs="Arial"/>
        </w:rPr>
        <w:t xml:space="preserve">MHDC will review the </w:t>
      </w:r>
      <w:r>
        <w:rPr>
          <w:rFonts w:ascii="Arial" w:hAnsi="Arial" w:cs="Arial"/>
        </w:rPr>
        <w:t>application</w:t>
      </w:r>
      <w:r w:rsidR="00D922A5" w:rsidRPr="002604A0">
        <w:rPr>
          <w:rFonts w:ascii="Arial" w:hAnsi="Arial" w:cs="Arial"/>
        </w:rPr>
        <w:t xml:space="preserve"> to determine the owner's eligibility to further request a Qualified Contract by confirming the following:</w:t>
      </w: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</w:p>
    <w:p w:rsidR="00D922A5" w:rsidRDefault="00D922A5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4A0">
        <w:rPr>
          <w:rFonts w:ascii="Arial" w:hAnsi="Arial" w:cs="Arial"/>
        </w:rPr>
        <w:t>The owner did not waive its right to request a Qualified Contract during the allocation of the tax credits;</w:t>
      </w:r>
    </w:p>
    <w:p w:rsidR="00063871" w:rsidRPr="002604A0" w:rsidRDefault="00063871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property’s tax credit compliance period is in the last year of the mandatory compliance period</w:t>
      </w:r>
      <w:r w:rsidR="009E737D">
        <w:rPr>
          <w:rFonts w:ascii="Arial" w:hAnsi="Arial" w:cs="Arial"/>
        </w:rPr>
        <w:t>;</w:t>
      </w:r>
    </w:p>
    <w:p w:rsidR="00D922A5" w:rsidRPr="002604A0" w:rsidRDefault="00D922A5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4A0">
        <w:rPr>
          <w:rFonts w:ascii="Arial" w:hAnsi="Arial" w:cs="Arial"/>
        </w:rPr>
        <w:t>The tax credit property meets the basic physical compliance standards that are necessary to claim credits;</w:t>
      </w:r>
    </w:p>
    <w:p w:rsidR="00D922A5" w:rsidRPr="002604A0" w:rsidRDefault="00D922A5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4A0">
        <w:rPr>
          <w:rFonts w:ascii="Arial" w:hAnsi="Arial" w:cs="Arial"/>
        </w:rPr>
        <w:t>The owner is willing to secure waivers of any purchase options and rights of first refusals connected to the property;</w:t>
      </w:r>
    </w:p>
    <w:p w:rsidR="00D922A5" w:rsidRPr="002604A0" w:rsidRDefault="00D922A5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4A0">
        <w:rPr>
          <w:rFonts w:ascii="Arial" w:hAnsi="Arial" w:cs="Arial"/>
        </w:rPr>
        <w:t>All pending 8823's have been resolved</w:t>
      </w:r>
      <w:r w:rsidR="009E737D">
        <w:rPr>
          <w:rFonts w:ascii="Arial" w:hAnsi="Arial" w:cs="Arial"/>
        </w:rPr>
        <w:t>;</w:t>
      </w:r>
      <w:r w:rsidRPr="002604A0">
        <w:rPr>
          <w:rFonts w:ascii="Arial" w:hAnsi="Arial" w:cs="Arial"/>
        </w:rPr>
        <w:t xml:space="preserve"> and</w:t>
      </w:r>
    </w:p>
    <w:p w:rsidR="00D922A5" w:rsidRDefault="00D922A5" w:rsidP="00D922A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4A0">
        <w:rPr>
          <w:rFonts w:ascii="Arial" w:hAnsi="Arial" w:cs="Arial"/>
        </w:rPr>
        <w:t>The owner did not agree to an extended compliance period (additional compliance period).</w:t>
      </w: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</w:p>
    <w:p w:rsidR="00D922A5" w:rsidRDefault="00DB7257" w:rsidP="00D922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application</w:t>
      </w:r>
      <w:r w:rsidR="00D922A5" w:rsidRPr="002604A0">
        <w:rPr>
          <w:rFonts w:ascii="Arial" w:hAnsi="Arial" w:cs="Arial"/>
        </w:rPr>
        <w:t xml:space="preserve"> must address each of the preceding items.  If, af</w:t>
      </w:r>
      <w:r>
        <w:rPr>
          <w:rFonts w:ascii="Arial" w:hAnsi="Arial" w:cs="Arial"/>
        </w:rPr>
        <w:t>ter the review of the</w:t>
      </w:r>
      <w:r w:rsidR="00D922A5" w:rsidRPr="0026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 w:rsidR="00D922A5" w:rsidRPr="002604A0">
        <w:rPr>
          <w:rFonts w:ascii="Arial" w:hAnsi="Arial" w:cs="Arial"/>
        </w:rPr>
        <w:t xml:space="preserve">, MHDC determines the owner is not eligible to submit a Request for Qualified Contract, MHDC will notify the owner of the reason in writing.  </w:t>
      </w:r>
    </w:p>
    <w:p w:rsidR="00063871" w:rsidRPr="002604A0" w:rsidRDefault="00063871" w:rsidP="00D922A5">
      <w:pPr>
        <w:pStyle w:val="NoSpacing"/>
        <w:rPr>
          <w:rFonts w:ascii="Arial" w:hAnsi="Arial" w:cs="Arial"/>
        </w:rPr>
      </w:pP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  <w:r w:rsidRPr="002604A0">
        <w:rPr>
          <w:rFonts w:ascii="Arial" w:hAnsi="Arial" w:cs="Arial"/>
        </w:rPr>
        <w:t xml:space="preserve">In addition to addressing basic eligibility as explained above, each owner </w:t>
      </w:r>
      <w:r w:rsidR="00063871">
        <w:rPr>
          <w:rFonts w:ascii="Arial" w:hAnsi="Arial" w:cs="Arial"/>
        </w:rPr>
        <w:t xml:space="preserve">shall certify in the </w:t>
      </w:r>
      <w:r w:rsidR="00DB7257">
        <w:rPr>
          <w:rFonts w:ascii="Arial" w:hAnsi="Arial" w:cs="Arial"/>
        </w:rPr>
        <w:t>application</w:t>
      </w:r>
      <w:r w:rsidRPr="002604A0">
        <w:rPr>
          <w:rFonts w:ascii="Arial" w:hAnsi="Arial" w:cs="Arial"/>
        </w:rPr>
        <w:t xml:space="preserve"> that it has all the necessary documentation to submit a Request for Qual</w:t>
      </w:r>
      <w:r w:rsidR="00DB7257">
        <w:rPr>
          <w:rFonts w:ascii="Arial" w:hAnsi="Arial" w:cs="Arial"/>
        </w:rPr>
        <w:t>ified Contract.  The</w:t>
      </w:r>
      <w:r w:rsidRPr="002604A0">
        <w:rPr>
          <w:rFonts w:ascii="Arial" w:hAnsi="Arial" w:cs="Arial"/>
        </w:rPr>
        <w:t xml:space="preserve"> </w:t>
      </w:r>
      <w:r w:rsidR="00963A40">
        <w:rPr>
          <w:rFonts w:ascii="Arial" w:hAnsi="Arial" w:cs="Arial"/>
        </w:rPr>
        <w:t>a</w:t>
      </w:r>
      <w:r w:rsidR="00DB7257">
        <w:rPr>
          <w:rFonts w:ascii="Arial" w:hAnsi="Arial" w:cs="Arial"/>
        </w:rPr>
        <w:t>pplication</w:t>
      </w:r>
      <w:r w:rsidRPr="002604A0">
        <w:rPr>
          <w:rFonts w:ascii="Arial" w:hAnsi="Arial" w:cs="Arial"/>
        </w:rPr>
        <w:t xml:space="preserve"> will not bind the owner to submit the </w:t>
      </w:r>
      <w:r w:rsidR="009E737D">
        <w:rPr>
          <w:rFonts w:ascii="Arial" w:hAnsi="Arial" w:cs="Arial"/>
        </w:rPr>
        <w:t>r</w:t>
      </w:r>
      <w:r w:rsidRPr="002604A0">
        <w:rPr>
          <w:rFonts w:ascii="Arial" w:hAnsi="Arial" w:cs="Arial"/>
        </w:rPr>
        <w:t xml:space="preserve">equest and does not start the </w:t>
      </w:r>
      <w:r w:rsidR="00575F67">
        <w:rPr>
          <w:rFonts w:ascii="Arial" w:hAnsi="Arial" w:cs="Arial"/>
        </w:rPr>
        <w:t xml:space="preserve">mandatory waiting period.  </w:t>
      </w:r>
      <w:r w:rsidRPr="002604A0">
        <w:rPr>
          <w:rFonts w:ascii="Arial" w:hAnsi="Arial" w:cs="Arial"/>
        </w:rPr>
        <w:t>To assist MHDC in the r</w:t>
      </w:r>
      <w:r w:rsidR="00DB7257">
        <w:rPr>
          <w:rFonts w:ascii="Arial" w:hAnsi="Arial" w:cs="Arial"/>
        </w:rPr>
        <w:t>eview process</w:t>
      </w:r>
      <w:r w:rsidRPr="002604A0">
        <w:rPr>
          <w:rFonts w:ascii="Arial" w:hAnsi="Arial" w:cs="Arial"/>
        </w:rPr>
        <w:t>, please pro</w:t>
      </w:r>
      <w:r w:rsidR="00062321">
        <w:rPr>
          <w:rFonts w:ascii="Arial" w:hAnsi="Arial" w:cs="Arial"/>
        </w:rPr>
        <w:t>vide the following</w:t>
      </w:r>
      <w:r w:rsidRPr="002604A0">
        <w:rPr>
          <w:rFonts w:ascii="Arial" w:hAnsi="Arial" w:cs="Arial"/>
        </w:rPr>
        <w:t>:</w:t>
      </w: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</w:p>
    <w:p w:rsidR="001E076B" w:rsidRDefault="009E737D" w:rsidP="00D922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Qualified </w:t>
      </w:r>
      <w:r w:rsidR="00063871">
        <w:rPr>
          <w:rFonts w:ascii="Arial" w:hAnsi="Arial" w:cs="Arial"/>
        </w:rPr>
        <w:t xml:space="preserve">Contract Request </w:t>
      </w:r>
      <w:r w:rsidR="008E4C5C">
        <w:rPr>
          <w:rFonts w:ascii="Arial" w:hAnsi="Arial" w:cs="Arial"/>
        </w:rPr>
        <w:t xml:space="preserve">Notification </w:t>
      </w:r>
      <w:r w:rsidR="001E076B">
        <w:rPr>
          <w:rFonts w:ascii="Arial" w:hAnsi="Arial" w:cs="Arial"/>
        </w:rPr>
        <w:t>(Exhibit QCP-2);</w:t>
      </w:r>
    </w:p>
    <w:p w:rsidR="00D922A5" w:rsidRDefault="008E4C5C" w:rsidP="00D922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Qualified Contract Request Application</w:t>
      </w:r>
      <w:r w:rsidR="001E076B">
        <w:rPr>
          <w:rFonts w:ascii="Arial" w:hAnsi="Arial" w:cs="Arial"/>
        </w:rPr>
        <w:t xml:space="preserve"> (Exhibit QCP-3</w:t>
      </w:r>
      <w:r w:rsidR="00575F67">
        <w:rPr>
          <w:rFonts w:ascii="Arial" w:hAnsi="Arial" w:cs="Arial"/>
        </w:rPr>
        <w:t>);</w:t>
      </w:r>
    </w:p>
    <w:p w:rsidR="00D1644D" w:rsidRDefault="00D1644D" w:rsidP="00D922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Adequate documentation to support </w:t>
      </w:r>
      <w:r w:rsidR="008E4C5C">
        <w:rPr>
          <w:rFonts w:ascii="Arial" w:hAnsi="Arial" w:cs="Arial"/>
        </w:rPr>
        <w:t>Qualified Contract Request</w:t>
      </w:r>
      <w:r>
        <w:rPr>
          <w:rFonts w:ascii="Arial" w:hAnsi="Arial" w:cs="Arial"/>
        </w:rPr>
        <w:t xml:space="preserve"> (i.e.</w:t>
      </w:r>
      <w:r w:rsidR="00597F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copies of original 8609s with part II completed, evidence of corrected 8823s, interior and exterior photos, narrative description, location map, site plan, name and </w:t>
      </w:r>
      <w:r w:rsidRPr="00533945">
        <w:rPr>
          <w:rFonts w:ascii="Arial" w:hAnsi="Arial" w:cs="Arial"/>
        </w:rPr>
        <w:t xml:space="preserve">contact </w:t>
      </w:r>
      <w:r w:rsidR="00533945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of current owner and management company, etc.);</w:t>
      </w:r>
    </w:p>
    <w:p w:rsidR="008577B4" w:rsidRPr="002604A0" w:rsidRDefault="008577B4" w:rsidP="00D922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Evidence that all physical inspection items have been satisfactorily completed</w:t>
      </w:r>
      <w:r w:rsidR="00DB3EC7">
        <w:rPr>
          <w:rFonts w:ascii="Arial" w:hAnsi="Arial" w:cs="Arial"/>
        </w:rPr>
        <w:t>;</w:t>
      </w:r>
    </w:p>
    <w:p w:rsidR="00FA3E3F" w:rsidRDefault="008E4C5C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Qualified Contract </w:t>
      </w:r>
      <w:r w:rsidR="00282502">
        <w:rPr>
          <w:rFonts w:ascii="Arial" w:hAnsi="Arial" w:cs="Arial"/>
        </w:rPr>
        <w:t xml:space="preserve">Worksheets (Exhibit QCP-4) </w:t>
      </w:r>
      <w:r w:rsidR="00282502" w:rsidRPr="00282502">
        <w:rPr>
          <w:rFonts w:ascii="Arial" w:hAnsi="Arial" w:cs="Arial"/>
        </w:rPr>
        <w:t xml:space="preserve">prepared by a Certified Public Accountant (CPA) based on </w:t>
      </w:r>
      <w:r w:rsidR="009E737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Qualified Contract </w:t>
      </w:r>
      <w:r w:rsidR="00282502" w:rsidRPr="00282502">
        <w:rPr>
          <w:rFonts w:ascii="Arial" w:hAnsi="Arial" w:cs="Arial"/>
        </w:rPr>
        <w:t>Agreed Upon Procedures</w:t>
      </w:r>
      <w:r w:rsidR="00282502">
        <w:rPr>
          <w:rFonts w:ascii="Arial" w:hAnsi="Arial" w:cs="Arial"/>
        </w:rPr>
        <w:t xml:space="preserve"> (Exhibit QCP-5);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onrefundable Administrative Fee as stated in the </w:t>
      </w:r>
      <w:r w:rsidR="008E4C5C">
        <w:rPr>
          <w:rFonts w:ascii="Arial" w:hAnsi="Arial" w:cs="Arial"/>
        </w:rPr>
        <w:t>Qualified Contract Process</w:t>
      </w:r>
      <w:r w:rsidRPr="00282502">
        <w:rPr>
          <w:rFonts w:ascii="Arial" w:hAnsi="Arial" w:cs="Arial"/>
        </w:rPr>
        <w:t xml:space="preserve"> Manua</w:t>
      </w:r>
      <w:r>
        <w:rPr>
          <w:rFonts w:ascii="Arial" w:hAnsi="Arial" w:cs="Arial"/>
        </w:rPr>
        <w:t>l</w:t>
      </w:r>
      <w:r w:rsidR="008E4C5C">
        <w:rPr>
          <w:rFonts w:ascii="Arial" w:hAnsi="Arial" w:cs="Arial"/>
        </w:rPr>
        <w:t>.</w:t>
      </w:r>
    </w:p>
    <w:p w:rsidR="00FA3E3F" w:rsidRDefault="00FA3E3F" w:rsidP="00D922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Adequate documentation to support</w:t>
      </w:r>
      <w:r w:rsidR="00062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QCP worksheets</w:t>
      </w:r>
      <w:r w:rsidR="00062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(i.e. </w:t>
      </w:r>
      <w:r w:rsidR="009E737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oan </w:t>
      </w:r>
      <w:r w:rsidR="009E737D">
        <w:rPr>
          <w:rFonts w:ascii="Arial" w:hAnsi="Arial" w:cs="Arial"/>
        </w:rPr>
        <w:t>s</w:t>
      </w:r>
      <w:r>
        <w:rPr>
          <w:rFonts w:ascii="Arial" w:hAnsi="Arial" w:cs="Arial"/>
        </w:rPr>
        <w:t>tatement’s; K-1’s; partnership agreements; fin</w:t>
      </w:r>
      <w:r w:rsidR="008E4C5C">
        <w:rPr>
          <w:rFonts w:ascii="Arial" w:hAnsi="Arial" w:cs="Arial"/>
        </w:rPr>
        <w:t>ancial statements; appraisals; assessed v</w:t>
      </w:r>
      <w:r>
        <w:rPr>
          <w:rFonts w:ascii="Arial" w:hAnsi="Arial" w:cs="Arial"/>
        </w:rPr>
        <w:t xml:space="preserve">aluations; etc.) 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Land Lease (if applicable)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Current Rent Roll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Most recent 12 months of Operating Statements and most recent audit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Letter from Investor-Limited Partner describing deal structure and potential exit strategy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Copy of Title Commitment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lastRenderedPageBreak/>
        <w:t>Most recent survey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Most recent market study (if available)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Phase I Environmental (if available)</w:t>
      </w:r>
      <w:r w:rsidR="00DB3EC7">
        <w:rPr>
          <w:rFonts w:ascii="Arial" w:hAnsi="Arial" w:cs="Arial"/>
        </w:rPr>
        <w:t>;</w:t>
      </w:r>
    </w:p>
    <w:p w:rsidR="00282502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Physical Needs Assessment (if available)</w:t>
      </w:r>
      <w:r w:rsidR="00DB3EC7">
        <w:rPr>
          <w:rFonts w:ascii="Arial" w:hAnsi="Arial" w:cs="Arial"/>
        </w:rPr>
        <w:t>;</w:t>
      </w:r>
      <w:r w:rsidR="009E737D">
        <w:rPr>
          <w:rFonts w:ascii="Arial" w:hAnsi="Arial" w:cs="Arial"/>
        </w:rPr>
        <w:t xml:space="preserve"> and</w:t>
      </w:r>
    </w:p>
    <w:p w:rsidR="00282502" w:rsidRPr="002604A0" w:rsidRDefault="00282502" w:rsidP="002825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82502">
        <w:rPr>
          <w:rFonts w:ascii="Arial" w:hAnsi="Arial" w:cs="Arial"/>
        </w:rPr>
        <w:t>Appraisal</w:t>
      </w:r>
      <w:r w:rsidR="00ED7694">
        <w:rPr>
          <w:rFonts w:ascii="Arial" w:hAnsi="Arial" w:cs="Arial"/>
        </w:rPr>
        <w:t>, including fair market land value</w:t>
      </w:r>
      <w:r w:rsidR="009E737D">
        <w:rPr>
          <w:rFonts w:ascii="Arial" w:hAnsi="Arial" w:cs="Arial"/>
        </w:rPr>
        <w:t>.</w:t>
      </w:r>
    </w:p>
    <w:p w:rsidR="00D922A5" w:rsidRPr="002604A0" w:rsidRDefault="00D922A5" w:rsidP="00D922A5">
      <w:pPr>
        <w:pStyle w:val="NoSpacing"/>
        <w:rPr>
          <w:rFonts w:ascii="Arial" w:hAnsi="Arial" w:cs="Arial"/>
        </w:rPr>
      </w:pPr>
    </w:p>
    <w:p w:rsidR="00F41C67" w:rsidRDefault="00FA3E3F" w:rsidP="00D922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NOTE:   MHDC will review the initial application within 30 days of receipt.  </w:t>
      </w:r>
      <w:r w:rsidR="006128FB">
        <w:rPr>
          <w:rFonts w:ascii="Arial" w:hAnsi="Arial" w:cs="Arial"/>
        </w:rPr>
        <w:t>The mandatory waiting period</w:t>
      </w:r>
      <w:r>
        <w:rPr>
          <w:rFonts w:ascii="Arial" w:hAnsi="Arial" w:cs="Arial"/>
        </w:rPr>
        <w:t xml:space="preserve"> to find a buyer will not begin until all items required have been submitted</w:t>
      </w:r>
      <w:r w:rsidR="00F136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fully supported</w:t>
      </w:r>
      <w:r w:rsidR="00F13632">
        <w:rPr>
          <w:rFonts w:ascii="Arial" w:hAnsi="Arial" w:cs="Arial"/>
        </w:rPr>
        <w:t xml:space="preserve"> and approved by MHDC</w:t>
      </w:r>
      <w:r>
        <w:rPr>
          <w:rFonts w:ascii="Arial" w:hAnsi="Arial" w:cs="Arial"/>
        </w:rPr>
        <w:t>.  The waiting period</w:t>
      </w:r>
      <w:r w:rsidR="006128FB">
        <w:rPr>
          <w:rFonts w:ascii="Arial" w:hAnsi="Arial" w:cs="Arial"/>
        </w:rPr>
        <w:t xml:space="preserve"> is defined as </w:t>
      </w:r>
      <w:r w:rsidR="00EA6F05">
        <w:rPr>
          <w:rFonts w:ascii="Arial" w:hAnsi="Arial" w:cs="Arial"/>
        </w:rPr>
        <w:t>365</w:t>
      </w:r>
      <w:r w:rsidR="006128FB">
        <w:rPr>
          <w:rFonts w:ascii="Arial" w:hAnsi="Arial" w:cs="Arial"/>
        </w:rPr>
        <w:t xml:space="preserve"> days from the posting of the property on MHDC’s website </w:t>
      </w:r>
      <w:hyperlink r:id="rId9" w:history="1">
        <w:r w:rsidR="006128FB" w:rsidRPr="009906BF">
          <w:rPr>
            <w:rStyle w:val="Hyperlink"/>
            <w:rFonts w:ascii="Arial" w:hAnsi="Arial" w:cs="Arial"/>
          </w:rPr>
          <w:t>www.mhdc.com</w:t>
        </w:r>
      </w:hyperlink>
      <w:r w:rsidR="00EA6F05">
        <w:rPr>
          <w:rFonts w:ascii="Arial" w:hAnsi="Arial" w:cs="Arial"/>
        </w:rPr>
        <w:t xml:space="preserve">. </w:t>
      </w:r>
    </w:p>
    <w:p w:rsidR="00EA6F05" w:rsidRDefault="00EA6F05" w:rsidP="00D922A5">
      <w:pPr>
        <w:pStyle w:val="NoSpacing"/>
        <w:rPr>
          <w:rFonts w:ascii="Arial" w:hAnsi="Arial" w:cs="Arial"/>
        </w:rPr>
      </w:pPr>
    </w:p>
    <w:p w:rsidR="00D922A5" w:rsidRPr="002604A0" w:rsidRDefault="006128FB" w:rsidP="00D922A5">
      <w:pPr>
        <w:pStyle w:val="NoSpacing"/>
        <w:rPr>
          <w:rFonts w:ascii="Arial" w:hAnsi="Arial" w:cs="Arial"/>
        </w:rPr>
      </w:pPr>
      <w:r w:rsidRPr="006128FB">
        <w:rPr>
          <w:rFonts w:ascii="Arial" w:hAnsi="Arial" w:cs="Arial"/>
          <w:b/>
        </w:rPr>
        <w:t>Example 1</w:t>
      </w:r>
      <w:r>
        <w:rPr>
          <w:rFonts w:ascii="Arial" w:hAnsi="Arial" w:cs="Arial"/>
        </w:rPr>
        <w:t>:  Property su</w:t>
      </w:r>
      <w:r w:rsidR="001E076B">
        <w:rPr>
          <w:rFonts w:ascii="Arial" w:hAnsi="Arial" w:cs="Arial"/>
        </w:rPr>
        <w:t>bmits application on 2/1/xx of Y</w:t>
      </w:r>
      <w:r>
        <w:rPr>
          <w:rFonts w:ascii="Arial" w:hAnsi="Arial" w:cs="Arial"/>
        </w:rPr>
        <w:t xml:space="preserve">ear 15 and the Request for Qualified Contract is posted </w:t>
      </w:r>
      <w:r w:rsidR="001E076B">
        <w:rPr>
          <w:rFonts w:ascii="Arial" w:hAnsi="Arial" w:cs="Arial"/>
        </w:rPr>
        <w:t xml:space="preserve">on MHDC’s website </w:t>
      </w:r>
      <w:r>
        <w:rPr>
          <w:rFonts w:ascii="Arial" w:hAnsi="Arial" w:cs="Arial"/>
        </w:rPr>
        <w:t xml:space="preserve">on 4/1/xx.  The earliest the property may exit the program is </w:t>
      </w:r>
      <w:r w:rsidR="00EA6F05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F41C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/xx </w:t>
      </w:r>
      <w:r w:rsidR="00F41C67">
        <w:rPr>
          <w:rFonts w:ascii="Arial" w:hAnsi="Arial" w:cs="Arial"/>
        </w:rPr>
        <w:t>of Year 16</w:t>
      </w:r>
      <w:r>
        <w:rPr>
          <w:rFonts w:ascii="Arial" w:hAnsi="Arial" w:cs="Arial"/>
        </w:rPr>
        <w:t>.</w:t>
      </w:r>
    </w:p>
    <w:p w:rsidR="006128FB" w:rsidRDefault="006128FB" w:rsidP="00BD2F18">
      <w:pPr>
        <w:pStyle w:val="NoSpacing"/>
      </w:pPr>
    </w:p>
    <w:p w:rsidR="0029457E" w:rsidRDefault="006128FB" w:rsidP="0029457E">
      <w:pPr>
        <w:pStyle w:val="NoSpacing"/>
        <w:rPr>
          <w:rFonts w:ascii="Arial" w:hAnsi="Arial" w:cs="Arial"/>
        </w:rPr>
      </w:pPr>
      <w:r w:rsidRPr="001E076B">
        <w:rPr>
          <w:rFonts w:ascii="Arial" w:hAnsi="Arial" w:cs="Arial"/>
          <w:b/>
        </w:rPr>
        <w:t>Example 2</w:t>
      </w:r>
      <w:r>
        <w:rPr>
          <w:rFonts w:ascii="Arial" w:hAnsi="Arial" w:cs="Arial"/>
        </w:rPr>
        <w:t>:  Property sub</w:t>
      </w:r>
      <w:r w:rsidR="001E076B">
        <w:rPr>
          <w:rFonts w:ascii="Arial" w:hAnsi="Arial" w:cs="Arial"/>
        </w:rPr>
        <w:t xml:space="preserve">mits application on </w:t>
      </w:r>
      <w:r w:rsidR="008577B4">
        <w:rPr>
          <w:rFonts w:ascii="Arial" w:hAnsi="Arial" w:cs="Arial"/>
        </w:rPr>
        <w:t>9</w:t>
      </w:r>
      <w:r w:rsidR="001E076B">
        <w:rPr>
          <w:rFonts w:ascii="Arial" w:hAnsi="Arial" w:cs="Arial"/>
        </w:rPr>
        <w:t>/1/xx of Y</w:t>
      </w:r>
      <w:r>
        <w:rPr>
          <w:rFonts w:ascii="Arial" w:hAnsi="Arial" w:cs="Arial"/>
        </w:rPr>
        <w:t>ear 15 and the Request for Qualified Contract is posted on</w:t>
      </w:r>
      <w:r w:rsidR="001E076B">
        <w:rPr>
          <w:rFonts w:ascii="Arial" w:hAnsi="Arial" w:cs="Arial"/>
        </w:rPr>
        <w:t xml:space="preserve"> MHDC’s website on</w:t>
      </w:r>
      <w:r>
        <w:rPr>
          <w:rFonts w:ascii="Arial" w:hAnsi="Arial" w:cs="Arial"/>
        </w:rPr>
        <w:t xml:space="preserve"> 11/1/xx.  The earliest the property may exit the program is </w:t>
      </w:r>
      <w:r w:rsidR="00EA6F05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EA6F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/xx </w:t>
      </w:r>
      <w:r w:rsidR="001E076B">
        <w:rPr>
          <w:rFonts w:ascii="Arial" w:hAnsi="Arial" w:cs="Arial"/>
        </w:rPr>
        <w:t>of Year 16.</w:t>
      </w:r>
    </w:p>
    <w:p w:rsidR="0029457E" w:rsidRDefault="0029457E" w:rsidP="0029457E">
      <w:pPr>
        <w:pStyle w:val="NoSpacing"/>
        <w:rPr>
          <w:rFonts w:ascii="Arial" w:hAnsi="Arial" w:cs="Arial"/>
        </w:rPr>
      </w:pPr>
    </w:p>
    <w:p w:rsidR="00575F67" w:rsidRDefault="0029457E">
      <w:pPr>
        <w:rPr>
          <w:rFonts w:ascii="Arial" w:hAnsi="Arial" w:cs="Arial"/>
        </w:rPr>
      </w:pPr>
      <w:r w:rsidRPr="00F41C67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If the property</w:t>
      </w:r>
      <w:r w:rsidRPr="0029457E">
        <w:rPr>
          <w:rFonts w:ascii="Arial" w:hAnsi="Arial" w:cs="Arial"/>
        </w:rPr>
        <w:t xml:space="preserve"> received gap financing from </w:t>
      </w:r>
      <w:r>
        <w:rPr>
          <w:rFonts w:ascii="Arial" w:hAnsi="Arial" w:cs="Arial"/>
        </w:rPr>
        <w:t>MHDC (i.e. HOME; MHDC Fund Balance; etc.</w:t>
      </w:r>
      <w:r w:rsidRPr="0029457E">
        <w:rPr>
          <w:rFonts w:ascii="Arial" w:hAnsi="Arial" w:cs="Arial"/>
        </w:rPr>
        <w:t xml:space="preserve">), the </w:t>
      </w:r>
      <w:r>
        <w:rPr>
          <w:rFonts w:ascii="Arial" w:hAnsi="Arial" w:cs="Arial"/>
        </w:rPr>
        <w:t>Qualified Contract process will not be completed until the loan is paid off</w:t>
      </w:r>
      <w:r w:rsidR="00EA6F05">
        <w:rPr>
          <w:rFonts w:ascii="Arial" w:hAnsi="Arial" w:cs="Arial"/>
        </w:rPr>
        <w:t xml:space="preserve">.  Please be advised that any other program </w:t>
      </w:r>
      <w:r>
        <w:rPr>
          <w:rFonts w:ascii="Arial" w:hAnsi="Arial" w:cs="Arial"/>
        </w:rPr>
        <w:t>affordability period</w:t>
      </w:r>
      <w:r w:rsidR="007B7C17">
        <w:rPr>
          <w:rFonts w:ascii="Arial" w:hAnsi="Arial" w:cs="Arial"/>
        </w:rPr>
        <w:t xml:space="preserve">s </w:t>
      </w:r>
      <w:r w:rsidR="00EA6F05">
        <w:rPr>
          <w:rFonts w:ascii="Arial" w:hAnsi="Arial" w:cs="Arial"/>
        </w:rPr>
        <w:t>will still be in effect</w:t>
      </w:r>
      <w:r>
        <w:rPr>
          <w:rFonts w:ascii="Arial" w:hAnsi="Arial" w:cs="Arial"/>
        </w:rPr>
        <w:t xml:space="preserve">. </w:t>
      </w:r>
      <w:r w:rsidR="00575F67">
        <w:rPr>
          <w:rFonts w:ascii="Arial" w:hAnsi="Arial" w:cs="Arial"/>
        </w:rPr>
        <w:br w:type="page"/>
      </w:r>
    </w:p>
    <w:p w:rsidR="00575F67" w:rsidRDefault="00575F67" w:rsidP="00D922A5">
      <w:pPr>
        <w:jc w:val="center"/>
        <w:rPr>
          <w:rFonts w:ascii="Arial" w:hAnsi="Arial" w:cs="Arial"/>
        </w:rPr>
      </w:pPr>
    </w:p>
    <w:p w:rsidR="00D922A5" w:rsidRPr="007B7C17" w:rsidRDefault="007B7C17" w:rsidP="00D922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Mandatory Compliance Period Ending Strategies</w:t>
      </w:r>
    </w:p>
    <w:p w:rsidR="00D922A5" w:rsidRPr="00D922A5" w:rsidRDefault="00D922A5" w:rsidP="00D922A5">
      <w:pPr>
        <w:rPr>
          <w:rFonts w:ascii="Arial" w:hAnsi="Arial" w:cs="Arial"/>
          <w:sz w:val="24"/>
          <w:szCs w:val="24"/>
        </w:rPr>
        <w:sectPr w:rsidR="00D922A5" w:rsidRPr="00D922A5" w:rsidSect="00DB72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1440" w:left="1440" w:header="720" w:footer="720" w:gutter="0"/>
          <w:cols w:space="720"/>
        </w:sectPr>
      </w:pPr>
    </w:p>
    <w:p w:rsidR="00D922A5" w:rsidRPr="00D922A5" w:rsidRDefault="00D922A5" w:rsidP="00D922A5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Meet with General Partner to discuss their intent:</w:t>
      </w:r>
    </w:p>
    <w:p w:rsidR="00D922A5" w:rsidRPr="00D922A5" w:rsidRDefault="00D922A5" w:rsidP="002604A0">
      <w:pPr>
        <w:pStyle w:val="NoSpacing"/>
      </w:pPr>
    </w:p>
    <w:p w:rsidR="00D922A5" w:rsidRPr="00D922A5" w:rsidRDefault="00D922A5" w:rsidP="002604A0">
      <w:pPr>
        <w:pStyle w:val="NoSpacing"/>
        <w:sectPr w:rsidR="00D922A5" w:rsidRPr="00D922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922A5" w:rsidRPr="00D922A5" w:rsidRDefault="00D922A5" w:rsidP="002604A0">
      <w:pPr>
        <w:pStyle w:val="1AutoList1"/>
        <w:numPr>
          <w:ilvl w:val="0"/>
          <w:numId w:val="4"/>
        </w:numPr>
        <w:tabs>
          <w:tab w:val="clear" w:pos="720"/>
        </w:tabs>
        <w:ind w:left="720" w:hanging="720"/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Sale at fair market value to developer/third party.</w:t>
      </w:r>
    </w:p>
    <w:p w:rsidR="00D922A5" w:rsidRPr="00D922A5" w:rsidRDefault="00D922A5" w:rsidP="000B7AD0">
      <w:pPr>
        <w:pStyle w:val="1AutoList1"/>
        <w:numPr>
          <w:ilvl w:val="0"/>
          <w:numId w:val="4"/>
        </w:numPr>
        <w:tabs>
          <w:tab w:val="clear" w:pos="720"/>
        </w:tabs>
        <w:ind w:left="720" w:hanging="720"/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Donate the project to a 501(C) (3) affordable housing organization or tenant management corp.</w:t>
      </w:r>
    </w:p>
    <w:p w:rsidR="00D922A5" w:rsidRDefault="00D922A5" w:rsidP="00533945">
      <w:pPr>
        <w:pStyle w:val="1AutoList1"/>
        <w:numPr>
          <w:ilvl w:val="0"/>
          <w:numId w:val="4"/>
        </w:numPr>
        <w:ind w:left="720" w:hanging="720"/>
        <w:jc w:val="left"/>
      </w:pPr>
      <w:r w:rsidRPr="00533945">
        <w:rPr>
          <w:rFonts w:ascii="Arial" w:hAnsi="Arial" w:cs="Arial"/>
        </w:rPr>
        <w:t>Other options include utilizing Right of First Refusal</w:t>
      </w:r>
      <w:r w:rsidR="00533945" w:rsidRPr="00533945">
        <w:rPr>
          <w:rFonts w:ascii="Arial" w:hAnsi="Arial" w:cs="Arial"/>
        </w:rPr>
        <w:t xml:space="preserve"> or </w:t>
      </w:r>
      <w:r w:rsidRPr="00533945">
        <w:rPr>
          <w:rFonts w:ascii="Arial" w:hAnsi="Arial" w:cs="Arial"/>
        </w:rPr>
        <w:t>re-syndicati</w:t>
      </w:r>
      <w:r w:rsidR="00533945" w:rsidRPr="00533945">
        <w:rPr>
          <w:rFonts w:ascii="Arial" w:hAnsi="Arial" w:cs="Arial"/>
        </w:rPr>
        <w:t>on.</w:t>
      </w:r>
      <w:r w:rsidR="00533945" w:rsidRPr="00533945" w:rsidDel="00533945">
        <w:rPr>
          <w:rFonts w:ascii="Arial" w:hAnsi="Arial" w:cs="Arial"/>
        </w:rPr>
        <w:t xml:space="preserve"> </w:t>
      </w:r>
    </w:p>
    <w:p w:rsidR="00533945" w:rsidRDefault="00533945" w:rsidP="00533945">
      <w:pPr>
        <w:pStyle w:val="1AutoList1"/>
        <w:ind w:firstLine="0"/>
        <w:jc w:val="left"/>
      </w:pPr>
    </w:p>
    <w:p w:rsidR="000B7AD0" w:rsidRPr="00D922A5" w:rsidRDefault="000B7AD0" w:rsidP="00533945">
      <w:pPr>
        <w:pStyle w:val="1AutoList1"/>
        <w:numPr>
          <w:ilvl w:val="0"/>
          <w:numId w:val="4"/>
        </w:numPr>
        <w:ind w:left="720" w:hanging="720"/>
        <w:jc w:val="left"/>
        <w:rPr>
          <w:rFonts w:ascii="Arial" w:hAnsi="Arial" w:cs="Arial"/>
        </w:rPr>
        <w:sectPr w:rsidR="000B7AD0" w:rsidRPr="00D922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922A5" w:rsidRPr="00D922A5" w:rsidRDefault="00D922A5" w:rsidP="00D922A5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Review and prepare an abstract of the LURA:</w:t>
      </w:r>
    </w:p>
    <w:p w:rsidR="00D922A5" w:rsidRDefault="00D922A5" w:rsidP="002604A0">
      <w:pPr>
        <w:pStyle w:val="NoSpacing"/>
      </w:pPr>
    </w:p>
    <w:p w:rsidR="000B7AD0" w:rsidRPr="00D922A5" w:rsidRDefault="000B7AD0" w:rsidP="00D922A5">
      <w:pPr>
        <w:rPr>
          <w:rFonts w:ascii="Arial" w:hAnsi="Arial" w:cs="Arial"/>
          <w:sz w:val="24"/>
          <w:szCs w:val="24"/>
        </w:rPr>
        <w:sectPr w:rsidR="000B7AD0" w:rsidRPr="00D922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922A5" w:rsidRPr="00D922A5" w:rsidRDefault="00D922A5" w:rsidP="00D922A5">
      <w:pPr>
        <w:pStyle w:val="1AutoList1"/>
        <w:numPr>
          <w:ilvl w:val="0"/>
          <w:numId w:val="6"/>
        </w:numPr>
        <w:tabs>
          <w:tab w:val="left" w:pos="1440"/>
        </w:tabs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 xml:space="preserve">Determine the last year of the </w:t>
      </w:r>
      <w:r w:rsidR="007B7C17">
        <w:rPr>
          <w:rFonts w:ascii="Arial" w:hAnsi="Arial" w:cs="Arial"/>
        </w:rPr>
        <w:t>mandatory</w:t>
      </w:r>
      <w:r w:rsidRPr="00D922A5">
        <w:rPr>
          <w:rFonts w:ascii="Arial" w:hAnsi="Arial" w:cs="Arial"/>
        </w:rPr>
        <w:t xml:space="preserve"> compliance period;</w:t>
      </w:r>
    </w:p>
    <w:p w:rsidR="00D922A5" w:rsidRPr="00D922A5" w:rsidRDefault="00D922A5" w:rsidP="00D922A5">
      <w:pPr>
        <w:pStyle w:val="1AutoList1"/>
        <w:numPr>
          <w:ilvl w:val="0"/>
          <w:numId w:val="6"/>
        </w:numPr>
        <w:tabs>
          <w:tab w:val="left" w:pos="1440"/>
        </w:tabs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Determine the Minimum Federal Set-Aside Election;</w:t>
      </w:r>
    </w:p>
    <w:p w:rsidR="00D922A5" w:rsidRPr="00D922A5" w:rsidRDefault="00D922A5" w:rsidP="00D922A5">
      <w:pPr>
        <w:pStyle w:val="1AutoList1"/>
        <w:numPr>
          <w:ilvl w:val="0"/>
          <w:numId w:val="6"/>
        </w:numPr>
        <w:tabs>
          <w:tab w:val="clear" w:pos="720"/>
        </w:tabs>
        <w:ind w:left="720" w:hanging="720"/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 xml:space="preserve">Under </w:t>
      </w:r>
      <w:r w:rsidR="00716D1F">
        <w:rPr>
          <w:rFonts w:ascii="Arial" w:hAnsi="Arial" w:cs="Arial"/>
        </w:rPr>
        <w:t xml:space="preserve">Include the section number here also if there is one. </w:t>
      </w:r>
      <w:r w:rsidRPr="00D922A5">
        <w:rPr>
          <w:rFonts w:ascii="Arial" w:hAnsi="Arial" w:cs="Arial"/>
        </w:rPr>
        <w:t xml:space="preserve">“Terms </w:t>
      </w:r>
      <w:r w:rsidR="00DF7431">
        <w:rPr>
          <w:rFonts w:ascii="Arial" w:hAnsi="Arial" w:cs="Arial"/>
        </w:rPr>
        <w:t>of the Agreement”, besides the m</w:t>
      </w:r>
      <w:r w:rsidRPr="00D922A5">
        <w:rPr>
          <w:rFonts w:ascii="Arial" w:hAnsi="Arial" w:cs="Arial"/>
        </w:rPr>
        <w:t>an</w:t>
      </w:r>
      <w:r w:rsidR="00DF7431">
        <w:rPr>
          <w:rFonts w:ascii="Arial" w:hAnsi="Arial" w:cs="Arial"/>
        </w:rPr>
        <w:t>datory compliance p</w:t>
      </w:r>
      <w:r w:rsidRPr="00D922A5">
        <w:rPr>
          <w:rFonts w:ascii="Arial" w:hAnsi="Arial" w:cs="Arial"/>
        </w:rPr>
        <w:t xml:space="preserve">eriod, </w:t>
      </w:r>
      <w:r w:rsidR="00DF7431">
        <w:rPr>
          <w:rFonts w:ascii="Arial" w:hAnsi="Arial" w:cs="Arial"/>
        </w:rPr>
        <w:t>determine</w:t>
      </w:r>
      <w:r w:rsidRPr="00D922A5">
        <w:rPr>
          <w:rFonts w:ascii="Arial" w:hAnsi="Arial" w:cs="Arial"/>
        </w:rPr>
        <w:t xml:space="preserve"> the number of years in the Extended Low Income Use Period;</w:t>
      </w:r>
    </w:p>
    <w:p w:rsidR="00DF7431" w:rsidRDefault="00DF7431" w:rsidP="00D922A5">
      <w:pPr>
        <w:pStyle w:val="1AutoList1"/>
        <w:numPr>
          <w:ilvl w:val="0"/>
          <w:numId w:val="6"/>
        </w:numPr>
        <w:tabs>
          <w:tab w:val="left" w:pos="14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Determine whether </w:t>
      </w:r>
      <w:r w:rsidR="00D922A5" w:rsidRPr="00D922A5">
        <w:rPr>
          <w:rFonts w:ascii="Arial" w:hAnsi="Arial" w:cs="Arial"/>
        </w:rPr>
        <w:t>the development receive</w:t>
      </w:r>
      <w:r>
        <w:rPr>
          <w:rFonts w:ascii="Arial" w:hAnsi="Arial" w:cs="Arial"/>
        </w:rPr>
        <w:t>d</w:t>
      </w:r>
      <w:r w:rsidR="00D922A5" w:rsidRPr="00D922A5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allocation from the Non-Profit </w:t>
      </w:r>
    </w:p>
    <w:p w:rsidR="00D922A5" w:rsidRPr="00D922A5" w:rsidRDefault="00DF7431" w:rsidP="00DF7431">
      <w:pPr>
        <w:pStyle w:val="1AutoList1"/>
        <w:tabs>
          <w:tab w:val="left" w:pos="1440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D922A5" w:rsidRPr="00D922A5">
        <w:rPr>
          <w:rFonts w:ascii="Arial" w:hAnsi="Arial" w:cs="Arial"/>
        </w:rPr>
        <w:t>et Aside;</w:t>
      </w:r>
    </w:p>
    <w:p w:rsidR="00D922A5" w:rsidRPr="00D922A5" w:rsidRDefault="00DF7431" w:rsidP="00D922A5">
      <w:pPr>
        <w:pStyle w:val="1AutoList1"/>
        <w:numPr>
          <w:ilvl w:val="0"/>
          <w:numId w:val="6"/>
        </w:num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Determine i</w:t>
      </w:r>
      <w:r w:rsidR="00D922A5" w:rsidRPr="00D922A5">
        <w:rPr>
          <w:rFonts w:ascii="Arial" w:hAnsi="Arial" w:cs="Arial"/>
        </w:rPr>
        <w:t xml:space="preserve">f there is HOME </w:t>
      </w:r>
      <w:r>
        <w:rPr>
          <w:rFonts w:ascii="Arial" w:hAnsi="Arial" w:cs="Arial"/>
        </w:rPr>
        <w:t xml:space="preserve">money </w:t>
      </w:r>
      <w:r w:rsidR="00716D1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pro</w:t>
      </w:r>
      <w:r w:rsidR="00716D1F">
        <w:rPr>
          <w:rFonts w:ascii="Arial" w:hAnsi="Arial" w:cs="Arial"/>
        </w:rPr>
        <w:t>perty</w:t>
      </w:r>
      <w:r>
        <w:rPr>
          <w:rFonts w:ascii="Arial" w:hAnsi="Arial" w:cs="Arial"/>
        </w:rPr>
        <w:t xml:space="preserve"> and any </w:t>
      </w:r>
      <w:r w:rsidR="00D922A5" w:rsidRPr="00D922A5">
        <w:rPr>
          <w:rFonts w:ascii="Arial" w:hAnsi="Arial" w:cs="Arial"/>
        </w:rPr>
        <w:t>associated restrictions;</w:t>
      </w:r>
    </w:p>
    <w:p w:rsidR="00D922A5" w:rsidRPr="00D922A5" w:rsidRDefault="00DF7431" w:rsidP="00D922A5">
      <w:pPr>
        <w:pStyle w:val="1AutoList1"/>
        <w:numPr>
          <w:ilvl w:val="0"/>
          <w:numId w:val="6"/>
        </w:num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Determine w</w:t>
      </w:r>
      <w:r w:rsidR="00D922A5" w:rsidRPr="00D922A5">
        <w:rPr>
          <w:rFonts w:ascii="Arial" w:hAnsi="Arial" w:cs="Arial"/>
        </w:rPr>
        <w:t xml:space="preserve">hat percentage of the units </w:t>
      </w:r>
      <w:r>
        <w:rPr>
          <w:rFonts w:ascii="Arial" w:hAnsi="Arial" w:cs="Arial"/>
        </w:rPr>
        <w:t>are</w:t>
      </w:r>
      <w:r w:rsidR="00D922A5" w:rsidRPr="00D922A5">
        <w:rPr>
          <w:rFonts w:ascii="Arial" w:hAnsi="Arial" w:cs="Arial"/>
        </w:rPr>
        <w:t xml:space="preserve"> rent-restricted in accordance with the respective set-aside election;</w:t>
      </w:r>
    </w:p>
    <w:p w:rsidR="00DF7431" w:rsidRDefault="00DF7431" w:rsidP="00DF7431">
      <w:pPr>
        <w:pStyle w:val="1AutoList1"/>
        <w:ind w:left="0" w:firstLine="0"/>
        <w:jc w:val="left"/>
        <w:rPr>
          <w:rFonts w:ascii="Arial" w:hAnsi="Arial" w:cs="Arial"/>
        </w:rPr>
      </w:pPr>
    </w:p>
    <w:p w:rsidR="00D922A5" w:rsidRPr="00D922A5" w:rsidRDefault="00D922A5" w:rsidP="00D922A5">
      <w:pPr>
        <w:rPr>
          <w:rFonts w:ascii="Arial" w:hAnsi="Arial" w:cs="Arial"/>
          <w:sz w:val="24"/>
          <w:szCs w:val="24"/>
        </w:rPr>
        <w:sectPr w:rsidR="00D922A5" w:rsidRPr="00D922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922A5" w:rsidRDefault="00D922A5" w:rsidP="00D922A5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Review and prepare an abstract of the Partnership Agreement:</w:t>
      </w:r>
    </w:p>
    <w:p w:rsidR="002604A0" w:rsidRDefault="002604A0" w:rsidP="002604A0">
      <w:pPr>
        <w:pStyle w:val="1AutoList1"/>
        <w:jc w:val="left"/>
        <w:rPr>
          <w:rFonts w:ascii="Arial" w:hAnsi="Arial" w:cs="Arial"/>
        </w:rPr>
      </w:pPr>
    </w:p>
    <w:p w:rsidR="002604A0" w:rsidRDefault="002604A0" w:rsidP="002604A0">
      <w:pPr>
        <w:pStyle w:val="1AutoList1"/>
        <w:numPr>
          <w:ilvl w:val="0"/>
          <w:numId w:val="8"/>
        </w:numPr>
        <w:ind w:left="720" w:hanging="720"/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What does the partnership agreement say regarding the disposition of the pro</w:t>
      </w:r>
      <w:r w:rsidR="00716D1F">
        <w:rPr>
          <w:rFonts w:ascii="Arial" w:hAnsi="Arial" w:cs="Arial"/>
        </w:rPr>
        <w:t>perty</w:t>
      </w:r>
      <w:r w:rsidRPr="00D922A5">
        <w:rPr>
          <w:rFonts w:ascii="Arial" w:hAnsi="Arial" w:cs="Arial"/>
        </w:rPr>
        <w:t xml:space="preserve"> or the LP’s interest in the </w:t>
      </w:r>
      <w:r w:rsidR="00716D1F" w:rsidRPr="00D922A5">
        <w:rPr>
          <w:rFonts w:ascii="Arial" w:hAnsi="Arial" w:cs="Arial"/>
        </w:rPr>
        <w:t>pro</w:t>
      </w:r>
      <w:r w:rsidR="00716D1F">
        <w:rPr>
          <w:rFonts w:ascii="Arial" w:hAnsi="Arial" w:cs="Arial"/>
        </w:rPr>
        <w:t>perty</w:t>
      </w:r>
      <w:r w:rsidRPr="00D922A5">
        <w:rPr>
          <w:rFonts w:ascii="Arial" w:hAnsi="Arial" w:cs="Arial"/>
        </w:rPr>
        <w:t>?</w:t>
      </w:r>
    </w:p>
    <w:p w:rsidR="002604A0" w:rsidRPr="00D922A5" w:rsidRDefault="002604A0" w:rsidP="002604A0">
      <w:pPr>
        <w:pStyle w:val="1AutoList1"/>
        <w:ind w:left="0" w:firstLine="0"/>
        <w:jc w:val="left"/>
        <w:rPr>
          <w:rFonts w:ascii="Arial" w:hAnsi="Arial" w:cs="Arial"/>
        </w:rPr>
      </w:pPr>
    </w:p>
    <w:p w:rsidR="002604A0" w:rsidRDefault="002604A0" w:rsidP="00D922A5">
      <w:pPr>
        <w:rPr>
          <w:rFonts w:ascii="Arial" w:hAnsi="Arial" w:cs="Arial"/>
          <w:sz w:val="24"/>
          <w:szCs w:val="24"/>
        </w:rPr>
        <w:sectPr w:rsidR="002604A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604A0" w:rsidRDefault="002604A0" w:rsidP="002604A0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Prepare an analysis of the assets and liabilities of the partnership:</w:t>
      </w:r>
    </w:p>
    <w:p w:rsidR="002604A0" w:rsidRPr="00D922A5" w:rsidRDefault="002604A0" w:rsidP="002604A0">
      <w:pPr>
        <w:pStyle w:val="1AutoList1"/>
        <w:ind w:left="0" w:firstLine="0"/>
        <w:jc w:val="left"/>
        <w:rPr>
          <w:rFonts w:ascii="Arial" w:hAnsi="Arial" w:cs="Arial"/>
        </w:rPr>
      </w:pPr>
    </w:p>
    <w:p w:rsidR="002604A0" w:rsidRDefault="002604A0" w:rsidP="002604A0">
      <w:pPr>
        <w:rPr>
          <w:rFonts w:ascii="Arial" w:hAnsi="Arial" w:cs="Arial"/>
          <w:sz w:val="24"/>
          <w:szCs w:val="24"/>
        </w:rPr>
        <w:sectPr w:rsidR="002604A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604A0" w:rsidRPr="00D922A5" w:rsidRDefault="00716D1F" w:rsidP="002604A0">
      <w:pPr>
        <w:pStyle w:val="1AutoList1"/>
        <w:numPr>
          <w:ilvl w:val="0"/>
          <w:numId w:val="10"/>
        </w:num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Obtain</w:t>
      </w:r>
      <w:r w:rsidRPr="00D922A5">
        <w:rPr>
          <w:rFonts w:ascii="Arial" w:hAnsi="Arial" w:cs="Arial"/>
        </w:rPr>
        <w:t xml:space="preserve"> </w:t>
      </w:r>
      <w:r w:rsidR="002604A0" w:rsidRPr="00D922A5">
        <w:rPr>
          <w:rFonts w:ascii="Arial" w:hAnsi="Arial" w:cs="Arial"/>
        </w:rPr>
        <w:t xml:space="preserve">a </w:t>
      </w:r>
      <w:r w:rsidRPr="00D922A5">
        <w:rPr>
          <w:rFonts w:ascii="Arial" w:hAnsi="Arial" w:cs="Arial"/>
        </w:rPr>
        <w:t>third</w:t>
      </w:r>
      <w:r>
        <w:rPr>
          <w:rFonts w:ascii="Arial" w:hAnsi="Arial" w:cs="Arial"/>
        </w:rPr>
        <w:t>-</w:t>
      </w:r>
      <w:r w:rsidR="002604A0" w:rsidRPr="00D922A5">
        <w:rPr>
          <w:rFonts w:ascii="Arial" w:hAnsi="Arial" w:cs="Arial"/>
        </w:rPr>
        <w:t>party appraisal</w:t>
      </w:r>
      <w:r w:rsidR="00DF7431">
        <w:rPr>
          <w:rFonts w:ascii="Arial" w:hAnsi="Arial" w:cs="Arial"/>
        </w:rPr>
        <w:t>(including land value)</w:t>
      </w:r>
      <w:r w:rsidR="002604A0" w:rsidRPr="00D922A5">
        <w:rPr>
          <w:rFonts w:ascii="Arial" w:hAnsi="Arial" w:cs="Arial"/>
        </w:rPr>
        <w:t xml:space="preserve"> on the property (with and without LIHTC restrictions);</w:t>
      </w:r>
    </w:p>
    <w:p w:rsidR="002604A0" w:rsidRPr="00D922A5" w:rsidRDefault="002604A0" w:rsidP="002604A0">
      <w:pPr>
        <w:pStyle w:val="1AutoList1"/>
        <w:numPr>
          <w:ilvl w:val="0"/>
          <w:numId w:val="10"/>
        </w:numPr>
        <w:tabs>
          <w:tab w:val="left" w:pos="1440"/>
        </w:tabs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Review the partnership and debt restrictions regarding reserves;</w:t>
      </w:r>
    </w:p>
    <w:p w:rsidR="002604A0" w:rsidRPr="00D922A5" w:rsidRDefault="002604A0" w:rsidP="002604A0">
      <w:pPr>
        <w:pStyle w:val="1AutoList1"/>
        <w:numPr>
          <w:ilvl w:val="0"/>
          <w:numId w:val="10"/>
        </w:numPr>
        <w:tabs>
          <w:tab w:val="left" w:pos="1440"/>
        </w:tabs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Review and summarize the types and terms of all the debt on the property and</w:t>
      </w:r>
    </w:p>
    <w:p w:rsidR="002604A0" w:rsidRPr="00D922A5" w:rsidRDefault="00DB7257" w:rsidP="002604A0">
      <w:pPr>
        <w:pStyle w:val="1AutoList1"/>
        <w:numPr>
          <w:ilvl w:val="0"/>
          <w:numId w:val="10"/>
        </w:numPr>
        <w:tabs>
          <w:tab w:val="left" w:pos="14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r w:rsidR="002604A0" w:rsidRPr="00D922A5">
        <w:rPr>
          <w:rFonts w:ascii="Arial" w:hAnsi="Arial" w:cs="Arial"/>
        </w:rPr>
        <w:t>the operations to the planned date of disposition or transfer.</w:t>
      </w:r>
    </w:p>
    <w:p w:rsidR="002604A0" w:rsidRPr="00D922A5" w:rsidRDefault="002604A0" w:rsidP="00D922A5">
      <w:pPr>
        <w:rPr>
          <w:rFonts w:ascii="Arial" w:hAnsi="Arial" w:cs="Arial"/>
          <w:sz w:val="24"/>
          <w:szCs w:val="24"/>
        </w:rPr>
        <w:sectPr w:rsidR="002604A0" w:rsidRPr="00D922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6128FB" w:rsidRPr="00DF7431" w:rsidRDefault="00DF7431" w:rsidP="00DF74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Mandatory Compliance Period Ending Strategies</w:t>
      </w:r>
      <w:r>
        <w:rPr>
          <w:rFonts w:ascii="Arial" w:hAnsi="Arial" w:cs="Arial"/>
          <w:sz w:val="28"/>
          <w:szCs w:val="28"/>
        </w:rPr>
        <w:t xml:space="preserve"> </w:t>
      </w:r>
      <w:r w:rsidR="006128FB" w:rsidRPr="006128FB">
        <w:rPr>
          <w:rFonts w:ascii="Arial" w:hAnsi="Arial" w:cs="Arial"/>
          <w:b/>
          <w:bCs/>
          <w:sz w:val="24"/>
          <w:szCs w:val="24"/>
        </w:rPr>
        <w:t>cont.</w:t>
      </w:r>
    </w:p>
    <w:p w:rsidR="00D922A5" w:rsidRPr="00D922A5" w:rsidRDefault="00D922A5" w:rsidP="002604A0">
      <w:pPr>
        <w:pStyle w:val="NoSpacing"/>
      </w:pPr>
    </w:p>
    <w:p w:rsidR="00D922A5" w:rsidRDefault="00D922A5" w:rsidP="00D922A5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If necessary, discuss the disposition plan with local elected officials and business leaders and address resident concerns.</w:t>
      </w:r>
    </w:p>
    <w:p w:rsidR="0007252D" w:rsidRPr="00D922A5" w:rsidRDefault="0007252D" w:rsidP="0007252D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 w:rsidRPr="00D922A5">
        <w:rPr>
          <w:rFonts w:ascii="Arial" w:hAnsi="Arial" w:cs="Arial"/>
        </w:rPr>
        <w:t>Identify the tax consequences of the proposed disposition.</w:t>
      </w:r>
    </w:p>
    <w:p w:rsidR="00DF7431" w:rsidRDefault="00DF7431" w:rsidP="00DF7431">
      <w:pPr>
        <w:pStyle w:val="1AutoList1"/>
        <w:jc w:val="left"/>
        <w:rPr>
          <w:rFonts w:ascii="Arial" w:hAnsi="Arial" w:cs="Arial"/>
        </w:rPr>
      </w:pPr>
    </w:p>
    <w:p w:rsidR="00DF7431" w:rsidRPr="00D922A5" w:rsidRDefault="00DF7431" w:rsidP="00DF7431">
      <w:pPr>
        <w:pStyle w:val="1AutoList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the GP’s intent is to sell the property to an owner who will operate the property as a market rate property (i.e. </w:t>
      </w:r>
      <w:r w:rsidR="0007252D">
        <w:rPr>
          <w:rFonts w:ascii="Arial" w:hAnsi="Arial" w:cs="Arial"/>
        </w:rPr>
        <w:t xml:space="preserve">not subject to </w:t>
      </w:r>
      <w:r>
        <w:rPr>
          <w:rFonts w:ascii="Arial" w:hAnsi="Arial" w:cs="Arial"/>
        </w:rPr>
        <w:t xml:space="preserve">LIHTC restrictions) the GP must request assistance of </w:t>
      </w:r>
      <w:r w:rsidR="00920D9B">
        <w:rPr>
          <w:rFonts w:ascii="Arial" w:hAnsi="Arial" w:cs="Arial"/>
        </w:rPr>
        <w:t>MHDC</w:t>
      </w:r>
      <w:r>
        <w:rPr>
          <w:rFonts w:ascii="Arial" w:hAnsi="Arial" w:cs="Arial"/>
        </w:rPr>
        <w:t xml:space="preserve"> and</w:t>
      </w:r>
      <w:r w:rsidR="0007252D">
        <w:rPr>
          <w:rFonts w:ascii="Arial" w:hAnsi="Arial" w:cs="Arial"/>
        </w:rPr>
        <w:t xml:space="preserve"> allow </w:t>
      </w:r>
      <w:r>
        <w:rPr>
          <w:rFonts w:ascii="Arial" w:hAnsi="Arial" w:cs="Arial"/>
        </w:rPr>
        <w:t xml:space="preserve">up to </w:t>
      </w:r>
      <w:r w:rsidR="00EA6F05">
        <w:rPr>
          <w:rFonts w:ascii="Arial" w:hAnsi="Arial" w:cs="Arial"/>
        </w:rPr>
        <w:t>365</w:t>
      </w:r>
      <w:r>
        <w:rPr>
          <w:rFonts w:ascii="Arial" w:hAnsi="Arial" w:cs="Arial"/>
        </w:rPr>
        <w:t xml:space="preserve"> days to find a Qualified Contract for the </w:t>
      </w:r>
      <w:r w:rsidR="0007252D">
        <w:rPr>
          <w:rFonts w:ascii="Arial" w:hAnsi="Arial" w:cs="Arial"/>
        </w:rPr>
        <w:t>acquisition</w:t>
      </w:r>
      <w:r>
        <w:rPr>
          <w:rFonts w:ascii="Arial" w:hAnsi="Arial" w:cs="Arial"/>
        </w:rPr>
        <w:t xml:space="preserve"> of the </w:t>
      </w:r>
      <w:r w:rsidR="00716D1F">
        <w:rPr>
          <w:rFonts w:ascii="Arial" w:hAnsi="Arial" w:cs="Arial"/>
        </w:rPr>
        <w:t xml:space="preserve">property </w:t>
      </w:r>
      <w:r w:rsidR="0007252D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to the LIHTC regulations.</w:t>
      </w:r>
    </w:p>
    <w:p w:rsidR="00D922A5" w:rsidRPr="00D922A5" w:rsidRDefault="00D922A5" w:rsidP="002604A0">
      <w:pPr>
        <w:pStyle w:val="NoSpacing"/>
      </w:pPr>
    </w:p>
    <w:p w:rsidR="00D922A5" w:rsidRPr="0007252D" w:rsidRDefault="00ED7694" w:rsidP="00D922A5">
      <w:pPr>
        <w:pStyle w:val="1AutoList1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7257">
        <w:rPr>
          <w:rFonts w:ascii="Arial" w:hAnsi="Arial" w:cs="Arial"/>
        </w:rPr>
        <w:t>ubmit the</w:t>
      </w:r>
      <w:r w:rsidR="002312D5">
        <w:rPr>
          <w:rFonts w:ascii="Arial" w:hAnsi="Arial" w:cs="Arial"/>
        </w:rPr>
        <w:t xml:space="preserve"> </w:t>
      </w:r>
      <w:r w:rsidR="0007252D">
        <w:rPr>
          <w:rFonts w:ascii="Arial" w:hAnsi="Arial" w:cs="Arial"/>
        </w:rPr>
        <w:t xml:space="preserve">Qualified Contract Request </w:t>
      </w:r>
      <w:r w:rsidR="002312D5">
        <w:rPr>
          <w:rFonts w:ascii="Arial" w:hAnsi="Arial" w:cs="Arial"/>
        </w:rPr>
        <w:t xml:space="preserve">Notification </w:t>
      </w:r>
      <w:r w:rsidR="0007252D">
        <w:rPr>
          <w:rFonts w:ascii="Arial" w:hAnsi="Arial" w:cs="Arial"/>
        </w:rPr>
        <w:t>(E</w:t>
      </w:r>
      <w:r w:rsidR="002312D5">
        <w:rPr>
          <w:rFonts w:ascii="Arial" w:hAnsi="Arial" w:cs="Arial"/>
        </w:rPr>
        <w:t xml:space="preserve">xhibit QCP-2); </w:t>
      </w:r>
      <w:r w:rsidR="0007252D">
        <w:rPr>
          <w:rFonts w:ascii="Arial" w:hAnsi="Arial" w:cs="Arial"/>
        </w:rPr>
        <w:t xml:space="preserve">Qualified Contract Application </w:t>
      </w:r>
      <w:r w:rsidR="002312D5">
        <w:rPr>
          <w:rFonts w:ascii="Arial" w:hAnsi="Arial" w:cs="Arial"/>
        </w:rPr>
        <w:t xml:space="preserve">(Exhibit QCP-3); Qualified Contract Worksheets (Exhibit QCP-4) </w:t>
      </w:r>
      <w:r w:rsidR="002312D5" w:rsidRPr="00282502">
        <w:rPr>
          <w:rFonts w:ascii="Arial" w:hAnsi="Arial" w:cs="Arial"/>
        </w:rPr>
        <w:t xml:space="preserve">prepared by a Certified Public Accountant (CPA) based on </w:t>
      </w:r>
      <w:r w:rsidR="000F6AD0">
        <w:rPr>
          <w:rFonts w:ascii="Arial" w:hAnsi="Arial" w:cs="Arial"/>
        </w:rPr>
        <w:t xml:space="preserve">the </w:t>
      </w:r>
      <w:r w:rsidR="002312D5" w:rsidRPr="00282502">
        <w:rPr>
          <w:rFonts w:ascii="Arial" w:hAnsi="Arial" w:cs="Arial"/>
        </w:rPr>
        <w:t>Agreed Upon Procedures</w:t>
      </w:r>
      <w:r w:rsidR="002312D5">
        <w:rPr>
          <w:rFonts w:ascii="Arial" w:hAnsi="Arial" w:cs="Arial"/>
        </w:rPr>
        <w:t xml:space="preserve"> (Exhibit QCP-5); and all required supporting documentation as stated </w:t>
      </w:r>
      <w:r w:rsidR="0007252D">
        <w:rPr>
          <w:rFonts w:ascii="Arial" w:hAnsi="Arial" w:cs="Arial"/>
        </w:rPr>
        <w:t xml:space="preserve">above </w:t>
      </w:r>
      <w:r w:rsidR="002312D5">
        <w:rPr>
          <w:rFonts w:ascii="Arial" w:hAnsi="Arial" w:cs="Arial"/>
        </w:rPr>
        <w:t xml:space="preserve">in the LIHTC </w:t>
      </w:r>
      <w:r w:rsidR="0007252D">
        <w:rPr>
          <w:rFonts w:ascii="Arial" w:hAnsi="Arial" w:cs="Arial"/>
        </w:rPr>
        <w:t>Qualified Contract Application Instructions</w:t>
      </w:r>
      <w:r w:rsidR="00D922A5" w:rsidRPr="00D922A5">
        <w:rPr>
          <w:rFonts w:ascii="Arial" w:hAnsi="Arial" w:cs="Arial"/>
        </w:rPr>
        <w:t>.</w:t>
      </w:r>
    </w:p>
    <w:sectPr w:rsidR="00D922A5" w:rsidRPr="0007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98" w:rsidRDefault="00926D98" w:rsidP="00D922A5">
      <w:pPr>
        <w:spacing w:after="0" w:line="240" w:lineRule="auto"/>
      </w:pPr>
      <w:r>
        <w:separator/>
      </w:r>
    </w:p>
  </w:endnote>
  <w:endnote w:type="continuationSeparator" w:id="0">
    <w:p w:rsidR="00926D98" w:rsidRDefault="00926D98" w:rsidP="00D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B" w:rsidRDefault="009D1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67" w:rsidRDefault="00F41C67" w:rsidP="00DB7257">
    <w:pPr>
      <w:pStyle w:val="Footer"/>
      <w:rPr>
        <w:sz w:val="16"/>
        <w:szCs w:val="16"/>
      </w:rPr>
    </w:pPr>
    <w:r>
      <w:rPr>
        <w:sz w:val="16"/>
        <w:szCs w:val="16"/>
      </w:rPr>
      <w:t xml:space="preserve">MHDC Form QCP-1 (Rev. </w:t>
    </w:r>
    <w:r w:rsidR="00EA6F05">
      <w:rPr>
        <w:sz w:val="16"/>
        <w:szCs w:val="16"/>
      </w:rPr>
      <w:t>10/2018</w:t>
    </w:r>
    <w:r>
      <w:rPr>
        <w:sz w:val="16"/>
        <w:szCs w:val="16"/>
      </w:rPr>
      <w:t>)</w:t>
    </w:r>
    <w:r w:rsidR="009D122B">
      <w:rPr>
        <w:sz w:val="16"/>
        <w:szCs w:val="16"/>
      </w:rPr>
      <w:t xml:space="preserve"> </w:t>
    </w:r>
    <w:r>
      <w:rPr>
        <w:sz w:val="16"/>
      </w:rPr>
      <w:tab/>
      <w:t xml:space="preserve">                 </w:t>
    </w:r>
    <w:r>
      <w:rPr>
        <w:sz w:val="16"/>
      </w:rPr>
      <w:tab/>
    </w:r>
    <w:r>
      <w:rPr>
        <w:sz w:val="16"/>
        <w:szCs w:val="16"/>
      </w:rPr>
      <w:t xml:space="preserve">MHDC </w:t>
    </w:r>
    <w:r w:rsidRPr="00D922A5">
      <w:rPr>
        <w:sz w:val="16"/>
        <w:szCs w:val="16"/>
      </w:rPr>
      <w:t xml:space="preserve">LIHTC </w:t>
    </w:r>
    <w:r>
      <w:rPr>
        <w:sz w:val="16"/>
        <w:szCs w:val="16"/>
      </w:rPr>
      <w:t>QUALIFED CONTRACT APPLICATION INSTRUCTIONS</w:t>
    </w:r>
    <w:r w:rsidRPr="0071295E">
      <w:rPr>
        <w:sz w:val="16"/>
        <w:szCs w:val="16"/>
      </w:rPr>
      <w:t xml:space="preserve"> </w:t>
    </w:r>
    <w:bookmarkStart w:id="0" w:name="_GoBack"/>
    <w:bookmarkEnd w:id="0"/>
  </w:p>
  <w:p w:rsidR="00F41C67" w:rsidRDefault="00F41C67" w:rsidP="00772CF0">
    <w:pPr>
      <w:pStyle w:val="Footer"/>
      <w:tabs>
        <w:tab w:val="clear" w:pos="4680"/>
        <w:tab w:val="clear" w:pos="9360"/>
        <w:tab w:val="left" w:pos="53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B" w:rsidRDefault="009D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98" w:rsidRDefault="00926D98" w:rsidP="00D922A5">
      <w:pPr>
        <w:spacing w:after="0" w:line="240" w:lineRule="auto"/>
      </w:pPr>
      <w:r>
        <w:separator/>
      </w:r>
    </w:p>
  </w:footnote>
  <w:footnote w:type="continuationSeparator" w:id="0">
    <w:p w:rsidR="00926D98" w:rsidRDefault="00926D98" w:rsidP="00D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B" w:rsidRDefault="009D1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67" w:rsidRDefault="00F41C67" w:rsidP="009D122B">
    <w:pPr>
      <w:pStyle w:val="Header"/>
    </w:pPr>
  </w:p>
  <w:p w:rsidR="00F41C67" w:rsidRDefault="00F4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B" w:rsidRDefault="009D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A9B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8125A9B"/>
    <w:multiLevelType w:val="multilevel"/>
    <w:tmpl w:val="DA6035E0"/>
    <w:lvl w:ilvl="0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360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504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648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92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936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80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224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3680" w:hanging="1440"/>
      </w:pPr>
      <w:rPr>
        <w:rFonts w:cs="Times New Roman"/>
      </w:rPr>
    </w:lvl>
  </w:abstractNum>
  <w:abstractNum w:abstractNumId="2" w15:restartNumberingAfterBreak="0">
    <w:nsid w:val="09470F83"/>
    <w:multiLevelType w:val="hybridMultilevel"/>
    <w:tmpl w:val="65A0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F28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0ED47F91"/>
    <w:multiLevelType w:val="multilevel"/>
    <w:tmpl w:val="3592A05C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 w15:restartNumberingAfterBreak="0">
    <w:nsid w:val="11F760C5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2C2C5A2B"/>
    <w:multiLevelType w:val="multilevel"/>
    <w:tmpl w:val="42EA65EA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  <w:sz w:val="32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2F022A34"/>
    <w:multiLevelType w:val="hybridMultilevel"/>
    <w:tmpl w:val="A0C2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B2A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9" w15:restartNumberingAfterBreak="0">
    <w:nsid w:val="4F2342BA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0" w15:restartNumberingAfterBreak="0">
    <w:nsid w:val="6B0D21A0"/>
    <w:multiLevelType w:val="multilevel"/>
    <w:tmpl w:val="D7F0B700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6F8171EF"/>
    <w:multiLevelType w:val="hybridMultilevel"/>
    <w:tmpl w:val="65A0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2142"/>
    <w:multiLevelType w:val="multilevel"/>
    <w:tmpl w:val="9E7473B2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3" w15:restartNumberingAfterBreak="0">
    <w:nsid w:val="72AB6158"/>
    <w:multiLevelType w:val="multilevel"/>
    <w:tmpl w:val="165E99E8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ZMxHou8MxdhN5I5NF8iDh35e//A3geFl/wU1poWdr1qBZCIAvkgQc2inuU0//mAk2FTXxcpi74WYgSWHZONPCg==" w:salt="yARTF8lGZgmgo9DHuBqZ+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A5"/>
    <w:rsid w:val="00013ADE"/>
    <w:rsid w:val="00040219"/>
    <w:rsid w:val="00062321"/>
    <w:rsid w:val="00063871"/>
    <w:rsid w:val="0007252D"/>
    <w:rsid w:val="000B7239"/>
    <w:rsid w:val="000B7AD0"/>
    <w:rsid w:val="000F6AD0"/>
    <w:rsid w:val="001555F7"/>
    <w:rsid w:val="001E076B"/>
    <w:rsid w:val="001E7974"/>
    <w:rsid w:val="002312D5"/>
    <w:rsid w:val="002318FD"/>
    <w:rsid w:val="002604A0"/>
    <w:rsid w:val="00282502"/>
    <w:rsid w:val="0029457E"/>
    <w:rsid w:val="00295029"/>
    <w:rsid w:val="002E2F88"/>
    <w:rsid w:val="00407133"/>
    <w:rsid w:val="00533945"/>
    <w:rsid w:val="00575F67"/>
    <w:rsid w:val="00597FCB"/>
    <w:rsid w:val="006128FB"/>
    <w:rsid w:val="0062248F"/>
    <w:rsid w:val="006D7ED3"/>
    <w:rsid w:val="00716D1F"/>
    <w:rsid w:val="00772CF0"/>
    <w:rsid w:val="007B7C17"/>
    <w:rsid w:val="008577B4"/>
    <w:rsid w:val="008E4C5C"/>
    <w:rsid w:val="00920D9B"/>
    <w:rsid w:val="00926D98"/>
    <w:rsid w:val="009307B8"/>
    <w:rsid w:val="00963A40"/>
    <w:rsid w:val="009D122B"/>
    <w:rsid w:val="009D51F3"/>
    <w:rsid w:val="009E2664"/>
    <w:rsid w:val="009E737D"/>
    <w:rsid w:val="00BD2F18"/>
    <w:rsid w:val="00D1644D"/>
    <w:rsid w:val="00D922A5"/>
    <w:rsid w:val="00DB3EC7"/>
    <w:rsid w:val="00DB7257"/>
    <w:rsid w:val="00DF7431"/>
    <w:rsid w:val="00E357BC"/>
    <w:rsid w:val="00EA6F05"/>
    <w:rsid w:val="00ED5044"/>
    <w:rsid w:val="00ED7694"/>
    <w:rsid w:val="00F13632"/>
    <w:rsid w:val="00F41C67"/>
    <w:rsid w:val="00F755CA"/>
    <w:rsid w:val="00FA3E3F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C6B78A"/>
  <w15:docId w15:val="{BED25610-B773-42AA-AA00-2D34212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2A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rebuchet MS" w:eastAsia="Times New Roman" w:hAnsi="Trebuchet MS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A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22A5"/>
    <w:rPr>
      <w:rFonts w:ascii="Trebuchet MS" w:eastAsia="Times New Roman" w:hAnsi="Trebuchet MS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D922A5"/>
  </w:style>
  <w:style w:type="paragraph" w:customStyle="1" w:styleId="1AutoList1">
    <w:name w:val="1AutoList1"/>
    <w:uiPriority w:val="99"/>
    <w:rsid w:val="00D922A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A5"/>
  </w:style>
  <w:style w:type="character" w:styleId="Hyperlink">
    <w:name w:val="Hyperlink"/>
    <w:basedOn w:val="DefaultParagraphFont"/>
    <w:uiPriority w:val="99"/>
    <w:unhideWhenUsed/>
    <w:rsid w:val="00612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5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d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964A-F866-48DD-AFB8-B01777F1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1011</Words>
  <Characters>5765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SHanak</dc:creator>
  <cp:lastModifiedBy>Candace Maupins</cp:lastModifiedBy>
  <cp:revision>7</cp:revision>
  <dcterms:created xsi:type="dcterms:W3CDTF">2014-09-30T16:42:00Z</dcterms:created>
  <dcterms:modified xsi:type="dcterms:W3CDTF">2022-06-17T20:21:00Z</dcterms:modified>
</cp:coreProperties>
</file>